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65424" w14:textId="77777777" w:rsidR="007A2C01" w:rsidRDefault="007A2C01" w:rsidP="007A2C01"/>
    <w:p w14:paraId="59980D90" w14:textId="1985FCF7" w:rsidR="009319FE" w:rsidRPr="004741CD" w:rsidRDefault="00D37368" w:rsidP="00213EEF">
      <w:pPr>
        <w:pStyle w:val="Heading1"/>
        <w:spacing w:before="240" w:after="0"/>
        <w:rPr>
          <w:sz w:val="28"/>
          <w:szCs w:val="28"/>
        </w:rPr>
      </w:pPr>
      <w:r w:rsidRPr="004741CD">
        <w:rPr>
          <w:sz w:val="28"/>
          <w:szCs w:val="28"/>
        </w:rPr>
        <w:t>P</w:t>
      </w:r>
      <w:r w:rsidR="00ED0673">
        <w:rPr>
          <w:sz w:val="28"/>
          <w:szCs w:val="28"/>
        </w:rPr>
        <w:t xml:space="preserve">olicy Statement </w:t>
      </w:r>
    </w:p>
    <w:p w14:paraId="55D5CD47" w14:textId="66221697" w:rsidR="00900E9F" w:rsidRDefault="00900E9F" w:rsidP="00900E9F">
      <w:r w:rsidRPr="00900E9F">
        <w:t>Goodstart aims to give every child</w:t>
      </w:r>
      <w:r>
        <w:t xml:space="preserve"> in Australia</w:t>
      </w:r>
      <w:r w:rsidRPr="00900E9F">
        <w:t xml:space="preserve"> the best start in life by supporting their learning, development, and wellbeing</w:t>
      </w:r>
      <w:r w:rsidR="00992334">
        <w:t xml:space="preserve"> outcomes they </w:t>
      </w:r>
      <w:r w:rsidR="00E243C6">
        <w:t>need for school and life</w:t>
      </w:r>
      <w:r w:rsidRPr="00900E9F">
        <w:t>.</w:t>
      </w:r>
      <w:r w:rsidR="00E243C6">
        <w:t xml:space="preserve"> </w:t>
      </w:r>
      <w:r w:rsidRPr="00900E9F">
        <w:t xml:space="preserve"> Effective risk management and assurance are essential to achieving these outcomes and keeping children at the </w:t>
      </w:r>
      <w:r w:rsidR="00D873DB" w:rsidRPr="00900E9F">
        <w:t>centre</w:t>
      </w:r>
      <w:r w:rsidRPr="00900E9F">
        <w:t xml:space="preserve"> of our decisions.</w:t>
      </w:r>
    </w:p>
    <w:p w14:paraId="425F75F9" w14:textId="77777777" w:rsidR="00900E9F" w:rsidRDefault="00900E9F" w:rsidP="00900E9F">
      <w:r w:rsidRPr="00900E9F">
        <w:t>This policy sets out how we manage risk at Goodstart, ensuring risks are identified, assessed, managed, and monitored. It makes risk management a core part of our governance, daily operations, and culture—driving accountability, transparency, innovation, and ongoing improvement.</w:t>
      </w:r>
    </w:p>
    <w:p w14:paraId="165541A0" w14:textId="1ED73D82" w:rsidR="000909C2" w:rsidRPr="00900E9F" w:rsidRDefault="00900E9F" w:rsidP="00055EAC">
      <w:r w:rsidRPr="00900E9F">
        <w:t>The policy aligns with ISO 31000:2018 standards and is supported by related procedures and guidelines.</w:t>
      </w:r>
    </w:p>
    <w:p w14:paraId="5FC34F3F" w14:textId="77777777" w:rsidR="000909C2" w:rsidRPr="00B453D6" w:rsidRDefault="000909C2" w:rsidP="000909C2">
      <w:pPr>
        <w:keepNext/>
        <w:keepLines/>
        <w:spacing w:before="240" w:after="120"/>
        <w:outlineLvl w:val="1"/>
        <w:rPr>
          <w:rFonts w:eastAsia="Times New Roman" w:cs="Times New Roman"/>
          <w:b/>
          <w:color w:val="4D4F53"/>
          <w:sz w:val="28"/>
          <w:szCs w:val="26"/>
          <w:lang w:val="en-US"/>
        </w:rPr>
      </w:pPr>
      <w:r w:rsidRPr="00C70383">
        <w:rPr>
          <w:rFonts w:eastAsia="Times New Roman" w:cs="Times New Roman"/>
          <w:b/>
          <w:color w:val="00A9E0" w:themeColor="accent1"/>
          <w:sz w:val="28"/>
          <w:szCs w:val="26"/>
          <w:lang w:val="en-US"/>
        </w:rPr>
        <w:t>What this policy applies to?</w:t>
      </w:r>
      <w:r w:rsidRPr="00B453D6">
        <w:rPr>
          <w:rFonts w:eastAsia="Times New Roman" w:cs="Times New Roman"/>
          <w:b/>
          <w:color w:val="4D4F53"/>
          <w:sz w:val="28"/>
          <w:szCs w:val="26"/>
          <w:lang w:val="en-US"/>
        </w:rPr>
        <w:tab/>
      </w:r>
    </w:p>
    <w:p w14:paraId="62C3FF99" w14:textId="77777777" w:rsidR="000909C2" w:rsidRPr="000909C2" w:rsidRDefault="000909C2" w:rsidP="000909C2">
      <w:pPr>
        <w:pStyle w:val="ListParagraph"/>
        <w:numPr>
          <w:ilvl w:val="0"/>
          <w:numId w:val="17"/>
        </w:numPr>
        <w:spacing w:after="60"/>
        <w:rPr>
          <w:rFonts w:eastAsia="Century Gothic"/>
          <w:b/>
          <w:color w:val="4D4F53"/>
          <w:szCs w:val="18"/>
        </w:rPr>
      </w:pPr>
      <w:r w:rsidRPr="000909C2">
        <w:rPr>
          <w:rFonts w:eastAsia="Century Gothic"/>
          <w:b/>
          <w:color w:val="4D4F53"/>
          <w:szCs w:val="18"/>
        </w:rPr>
        <w:t>Benefits of risk management and assurance</w:t>
      </w:r>
    </w:p>
    <w:p w14:paraId="14317703" w14:textId="77777777" w:rsidR="000909C2" w:rsidRPr="000909C2" w:rsidRDefault="000909C2" w:rsidP="000909C2">
      <w:pPr>
        <w:pStyle w:val="ListParagraph"/>
        <w:numPr>
          <w:ilvl w:val="0"/>
          <w:numId w:val="17"/>
        </w:numPr>
        <w:spacing w:after="60"/>
        <w:rPr>
          <w:rFonts w:eastAsia="Century Gothic"/>
          <w:b/>
          <w:color w:val="4D4F53"/>
          <w:szCs w:val="18"/>
        </w:rPr>
      </w:pPr>
      <w:r w:rsidRPr="000909C2">
        <w:rPr>
          <w:rFonts w:eastAsia="Century Gothic"/>
          <w:b/>
          <w:color w:val="4D4F53"/>
          <w:szCs w:val="18"/>
        </w:rPr>
        <w:t>Goodstart's approach to risk management</w:t>
      </w:r>
    </w:p>
    <w:p w14:paraId="48AF6D2E" w14:textId="77777777" w:rsidR="000909C2" w:rsidRPr="00B453D6" w:rsidRDefault="000909C2" w:rsidP="000909C2">
      <w:pPr>
        <w:numPr>
          <w:ilvl w:val="1"/>
          <w:numId w:val="17"/>
        </w:numPr>
        <w:spacing w:after="60"/>
        <w:contextualSpacing/>
        <w:rPr>
          <w:rFonts w:eastAsia="Century Gothic"/>
          <w:b/>
          <w:color w:val="4D4F53"/>
          <w:szCs w:val="18"/>
        </w:rPr>
      </w:pPr>
      <w:r w:rsidRPr="00B453D6">
        <w:rPr>
          <w:rFonts w:eastAsia="Century Gothic"/>
          <w:b/>
          <w:color w:val="4D4F53"/>
          <w:szCs w:val="18"/>
        </w:rPr>
        <w:t>Risk appetite</w:t>
      </w:r>
    </w:p>
    <w:p w14:paraId="0CFC554E" w14:textId="77777777" w:rsidR="000909C2" w:rsidRPr="000909C2" w:rsidRDefault="000909C2" w:rsidP="000909C2">
      <w:pPr>
        <w:pStyle w:val="ListParagraph"/>
        <w:numPr>
          <w:ilvl w:val="0"/>
          <w:numId w:val="17"/>
        </w:numPr>
        <w:spacing w:after="60"/>
        <w:rPr>
          <w:rFonts w:eastAsia="Century Gothic"/>
          <w:b/>
          <w:color w:val="4D4F53"/>
          <w:szCs w:val="18"/>
        </w:rPr>
      </w:pPr>
      <w:r w:rsidRPr="000909C2">
        <w:rPr>
          <w:rFonts w:eastAsia="Century Gothic"/>
          <w:b/>
          <w:color w:val="4D4F53"/>
          <w:szCs w:val="18"/>
        </w:rPr>
        <w:t>Goodstart's approach to assurance</w:t>
      </w:r>
    </w:p>
    <w:p w14:paraId="476151C6" w14:textId="77777777" w:rsidR="000909C2" w:rsidRPr="00B453D6" w:rsidRDefault="000909C2" w:rsidP="000909C2">
      <w:pPr>
        <w:numPr>
          <w:ilvl w:val="1"/>
          <w:numId w:val="17"/>
        </w:numPr>
        <w:spacing w:after="60"/>
        <w:contextualSpacing/>
        <w:rPr>
          <w:rFonts w:eastAsia="Century Gothic"/>
          <w:b/>
          <w:color w:val="4D4F53"/>
          <w:szCs w:val="18"/>
        </w:rPr>
      </w:pPr>
      <w:r w:rsidRPr="00B453D6">
        <w:rPr>
          <w:rFonts w:eastAsia="Century Gothic"/>
          <w:b/>
          <w:color w:val="4D4F53"/>
          <w:szCs w:val="18"/>
        </w:rPr>
        <w:t>Integrated assurance</w:t>
      </w:r>
    </w:p>
    <w:p w14:paraId="7B8AFADC" w14:textId="77777777" w:rsidR="000909C2" w:rsidRPr="000909C2" w:rsidRDefault="000909C2" w:rsidP="000909C2">
      <w:pPr>
        <w:pStyle w:val="ListParagraph"/>
        <w:numPr>
          <w:ilvl w:val="0"/>
          <w:numId w:val="17"/>
        </w:numPr>
        <w:spacing w:after="60"/>
        <w:rPr>
          <w:rFonts w:eastAsia="Century Gothic"/>
          <w:b/>
          <w:color w:val="4D4F53"/>
          <w:szCs w:val="18"/>
        </w:rPr>
      </w:pPr>
      <w:r w:rsidRPr="000909C2">
        <w:rPr>
          <w:rFonts w:eastAsia="Century Gothic"/>
          <w:b/>
          <w:color w:val="4D4F53"/>
          <w:szCs w:val="18"/>
        </w:rPr>
        <w:t>Accountabilities and responsibilities</w:t>
      </w:r>
    </w:p>
    <w:p w14:paraId="1DC6B346" w14:textId="77777777" w:rsidR="000909C2" w:rsidRDefault="000909C2" w:rsidP="000909C2">
      <w:pPr>
        <w:numPr>
          <w:ilvl w:val="1"/>
          <w:numId w:val="17"/>
        </w:numPr>
        <w:spacing w:after="60"/>
        <w:contextualSpacing/>
        <w:rPr>
          <w:rFonts w:eastAsia="Century Gothic"/>
          <w:b/>
          <w:color w:val="4D4F53"/>
          <w:szCs w:val="18"/>
        </w:rPr>
      </w:pPr>
      <w:r w:rsidRPr="00B453D6">
        <w:rPr>
          <w:rFonts w:eastAsia="Century Gothic"/>
          <w:b/>
          <w:color w:val="4D4F53"/>
          <w:szCs w:val="18"/>
        </w:rPr>
        <w:t>Continuous improvement</w:t>
      </w:r>
    </w:p>
    <w:p w14:paraId="6AD846E4" w14:textId="77777777" w:rsidR="000909C2" w:rsidRPr="00B453D6" w:rsidRDefault="000909C2" w:rsidP="00055EAC">
      <w:pPr>
        <w:spacing w:after="60"/>
        <w:contextualSpacing/>
        <w:rPr>
          <w:rFonts w:eastAsia="Century Gothic"/>
          <w:b/>
          <w:color w:val="4D4F53"/>
          <w:szCs w:val="18"/>
        </w:rPr>
      </w:pPr>
    </w:p>
    <w:p w14:paraId="06247717" w14:textId="77777777" w:rsidR="000909C2" w:rsidRPr="000909C2" w:rsidRDefault="000909C2" w:rsidP="000909C2">
      <w:pPr>
        <w:keepNext/>
        <w:keepLines/>
        <w:spacing w:before="120" w:after="60"/>
        <w:outlineLvl w:val="2"/>
        <w:rPr>
          <w:rFonts w:eastAsia="Times New Roman" w:cs="Times New Roman"/>
          <w:b/>
          <w:color w:val="00A9E0" w:themeColor="accent1"/>
          <w:sz w:val="24"/>
          <w:szCs w:val="24"/>
          <w:lang w:val="en-US"/>
        </w:rPr>
      </w:pPr>
      <w:r w:rsidRPr="000909C2">
        <w:rPr>
          <w:rFonts w:eastAsia="Times New Roman" w:cs="Times New Roman"/>
          <w:b/>
          <w:color w:val="00A9E0" w:themeColor="accent1"/>
          <w:sz w:val="24"/>
          <w:szCs w:val="24"/>
          <w:lang w:val="en-US"/>
        </w:rPr>
        <w:t>Benefits of risk management and assurance</w:t>
      </w:r>
    </w:p>
    <w:p w14:paraId="1A228A09" w14:textId="039DA695" w:rsidR="009A2161" w:rsidRPr="007A2C01" w:rsidRDefault="000909C2" w:rsidP="00D37368">
      <w:pPr>
        <w:rPr>
          <w:rFonts w:eastAsia="Century Gothic" w:cs="Times New Roman"/>
          <w:color w:val="4D4F53"/>
        </w:rPr>
      </w:pPr>
      <w:r w:rsidRPr="00B453D6">
        <w:rPr>
          <w:rFonts w:eastAsia="Century Gothic" w:cs="Times New Roman"/>
          <w:color w:val="4D4F53"/>
        </w:rPr>
        <w:t xml:space="preserve">Managing risk is part of every decision and activity within Goodstart. Effective risk management is a core component of delivering Goodstart's </w:t>
      </w:r>
      <w:r w:rsidR="002E146B">
        <w:rPr>
          <w:rFonts w:eastAsia="Century Gothic" w:cs="Times New Roman"/>
          <w:color w:val="4D4F53"/>
        </w:rPr>
        <w:t xml:space="preserve">vision, </w:t>
      </w:r>
      <w:r w:rsidRPr="00B453D6">
        <w:rPr>
          <w:rFonts w:eastAsia="Century Gothic" w:cs="Times New Roman"/>
          <w:color w:val="4D4F53"/>
        </w:rPr>
        <w:t xml:space="preserve">purpose and strategic objectives and is a key driver of good decision-making and operational effectiveness.   </w:t>
      </w:r>
    </w:p>
    <w:p w14:paraId="268081AF" w14:textId="77777777" w:rsidR="007A2C01" w:rsidRPr="00B453D6" w:rsidRDefault="007A2C01" w:rsidP="00EE3B45">
      <w:pPr>
        <w:spacing w:after="0"/>
        <w:rPr>
          <w:rFonts w:eastAsia="Century Gothic" w:cs="Times New Roman"/>
          <w:color w:val="4D4F53"/>
        </w:rPr>
      </w:pPr>
      <w:r w:rsidRPr="00B453D6">
        <w:rPr>
          <w:rFonts w:eastAsia="Century Gothic" w:cs="Times New Roman"/>
          <w:color w:val="4D4F53"/>
        </w:rPr>
        <w:t>Goodstart recognises that effective risk management and assurance are central to our delivery of objectives and form a key element of our commitment to continuous improvement. There are many benefits from successfully implementing risk management and assurance</w:t>
      </w:r>
      <w:r>
        <w:rPr>
          <w:rFonts w:eastAsia="Century Gothic" w:cs="Times New Roman"/>
          <w:color w:val="4D4F53"/>
        </w:rPr>
        <w:t>,</w:t>
      </w:r>
      <w:r w:rsidRPr="00B453D6">
        <w:rPr>
          <w:rFonts w:eastAsia="Century Gothic" w:cs="Times New Roman"/>
          <w:color w:val="4D4F53"/>
        </w:rPr>
        <w:t xml:space="preserve"> including:</w:t>
      </w:r>
    </w:p>
    <w:p w14:paraId="2AFBE6D3" w14:textId="44C99099" w:rsidR="007A2C01" w:rsidRPr="003F0C6F" w:rsidRDefault="007A2C01" w:rsidP="00EE3B45">
      <w:pPr>
        <w:numPr>
          <w:ilvl w:val="0"/>
          <w:numId w:val="18"/>
        </w:numPr>
        <w:spacing w:after="0" w:line="276" w:lineRule="auto"/>
        <w:rPr>
          <w:rFonts w:eastAsia="Century Gothic" w:cs="Times New Roman"/>
          <w:color w:val="4D4F53"/>
        </w:rPr>
      </w:pPr>
      <w:r w:rsidRPr="003F0C6F">
        <w:rPr>
          <w:rFonts w:eastAsia="Century Gothic" w:cs="Times New Roman"/>
          <w:color w:val="4D4F53"/>
        </w:rPr>
        <w:t xml:space="preserve">Improved identification of opportunities and </w:t>
      </w:r>
      <w:r w:rsidR="0092719A">
        <w:rPr>
          <w:rFonts w:eastAsia="Century Gothic" w:cs="Times New Roman"/>
          <w:color w:val="4D4F53"/>
        </w:rPr>
        <w:t>risks</w:t>
      </w:r>
      <w:r w:rsidRPr="003F0C6F">
        <w:rPr>
          <w:rFonts w:eastAsia="Century Gothic" w:cs="Times New Roman"/>
          <w:color w:val="4D4F53"/>
        </w:rPr>
        <w:t xml:space="preserve">. </w:t>
      </w:r>
    </w:p>
    <w:p w14:paraId="1CD2F4BC" w14:textId="77777777" w:rsidR="007A2C01" w:rsidRPr="003F0C6F" w:rsidRDefault="007A2C01" w:rsidP="00EE3B45">
      <w:pPr>
        <w:numPr>
          <w:ilvl w:val="0"/>
          <w:numId w:val="18"/>
        </w:numPr>
        <w:spacing w:after="0" w:line="276" w:lineRule="auto"/>
        <w:rPr>
          <w:rFonts w:eastAsia="Century Gothic" w:cs="Times New Roman"/>
          <w:color w:val="4D4F53"/>
        </w:rPr>
      </w:pPr>
      <w:r w:rsidRPr="003F0C6F">
        <w:rPr>
          <w:rFonts w:eastAsia="Century Gothic" w:cs="Times New Roman"/>
          <w:color w:val="4D4F53"/>
        </w:rPr>
        <w:t>Increased focus on the quality, efficiency, and effectiveness of our services.</w:t>
      </w:r>
    </w:p>
    <w:p w14:paraId="6403A018" w14:textId="77777777" w:rsidR="007A2C01" w:rsidRPr="003F0C6F" w:rsidRDefault="007A2C01" w:rsidP="00EE3B45">
      <w:pPr>
        <w:numPr>
          <w:ilvl w:val="0"/>
          <w:numId w:val="18"/>
        </w:numPr>
        <w:spacing w:after="0" w:line="276" w:lineRule="auto"/>
        <w:rPr>
          <w:rFonts w:eastAsia="Century Gothic" w:cs="Times New Roman"/>
          <w:color w:val="4D4F53"/>
        </w:rPr>
      </w:pPr>
      <w:r w:rsidRPr="003F0C6F">
        <w:rPr>
          <w:rFonts w:eastAsia="Century Gothic" w:cs="Times New Roman"/>
          <w:color w:val="4D4F53"/>
        </w:rPr>
        <w:t>Increased awareness of individual responsibilities and accountabilities.</w:t>
      </w:r>
    </w:p>
    <w:p w14:paraId="7A21A3B7" w14:textId="77777777" w:rsidR="007A2C01" w:rsidRPr="003F0C6F" w:rsidRDefault="007A2C01" w:rsidP="00EE3B45">
      <w:pPr>
        <w:numPr>
          <w:ilvl w:val="0"/>
          <w:numId w:val="18"/>
        </w:numPr>
        <w:spacing w:after="0" w:line="276" w:lineRule="auto"/>
        <w:rPr>
          <w:rFonts w:eastAsia="Century Gothic" w:cs="Times New Roman"/>
          <w:color w:val="4D4F53"/>
        </w:rPr>
      </w:pPr>
      <w:r>
        <w:rPr>
          <w:rFonts w:eastAsia="Century Gothic" w:cs="Times New Roman"/>
          <w:color w:val="4D4F53"/>
        </w:rPr>
        <w:t>Improved</w:t>
      </w:r>
      <w:r w:rsidRPr="003F0C6F">
        <w:rPr>
          <w:rFonts w:eastAsia="Century Gothic" w:cs="Times New Roman"/>
          <w:color w:val="4D4F53"/>
        </w:rPr>
        <w:t xml:space="preserve"> compliance with legal and regulatory requirements. </w:t>
      </w:r>
    </w:p>
    <w:p w14:paraId="77928C01" w14:textId="77777777" w:rsidR="007A2C01" w:rsidRPr="003F0C6F" w:rsidRDefault="007A2C01" w:rsidP="00EE3B45">
      <w:pPr>
        <w:numPr>
          <w:ilvl w:val="0"/>
          <w:numId w:val="18"/>
        </w:numPr>
        <w:spacing w:after="0" w:line="276" w:lineRule="auto"/>
        <w:rPr>
          <w:rFonts w:eastAsia="Century Gothic" w:cs="Times New Roman"/>
          <w:color w:val="4D4F53"/>
        </w:rPr>
      </w:pPr>
      <w:r w:rsidRPr="003F0C6F">
        <w:rPr>
          <w:rFonts w:eastAsia="Century Gothic" w:cs="Times New Roman"/>
          <w:color w:val="4D4F53"/>
        </w:rPr>
        <w:t xml:space="preserve">Improved mandatory and voluntary reporting. </w:t>
      </w:r>
    </w:p>
    <w:p w14:paraId="4C11EB30" w14:textId="77777777" w:rsidR="007A2C01" w:rsidRPr="003F0C6F" w:rsidRDefault="007A2C01" w:rsidP="00EE3B45">
      <w:pPr>
        <w:numPr>
          <w:ilvl w:val="0"/>
          <w:numId w:val="18"/>
        </w:numPr>
        <w:spacing w:after="0" w:line="276" w:lineRule="auto"/>
        <w:rPr>
          <w:rFonts w:eastAsia="Century Gothic" w:cs="Times New Roman"/>
          <w:color w:val="4D4F53"/>
        </w:rPr>
      </w:pPr>
      <w:r>
        <w:rPr>
          <w:rFonts w:eastAsia="Century Gothic" w:cs="Times New Roman"/>
          <w:color w:val="4D4F53"/>
        </w:rPr>
        <w:t>E</w:t>
      </w:r>
      <w:r w:rsidRPr="003F0C6F">
        <w:rPr>
          <w:rFonts w:eastAsia="Century Gothic" w:cs="Times New Roman"/>
          <w:color w:val="4D4F53"/>
        </w:rPr>
        <w:t>videnced-based decision-making and planning</w:t>
      </w:r>
    </w:p>
    <w:p w14:paraId="66786EC5" w14:textId="77777777" w:rsidR="007A2C01" w:rsidRPr="003F0C6F" w:rsidRDefault="007A2C01" w:rsidP="00EE3B45">
      <w:pPr>
        <w:numPr>
          <w:ilvl w:val="0"/>
          <w:numId w:val="18"/>
        </w:numPr>
        <w:spacing w:after="0" w:line="276" w:lineRule="auto"/>
        <w:rPr>
          <w:rFonts w:eastAsia="Century Gothic" w:cs="Times New Roman"/>
          <w:color w:val="4D4F53"/>
        </w:rPr>
      </w:pPr>
      <w:r>
        <w:rPr>
          <w:rFonts w:eastAsia="Century Gothic" w:cs="Times New Roman"/>
          <w:color w:val="4D4F53"/>
        </w:rPr>
        <w:t>I</w:t>
      </w:r>
      <w:r w:rsidRPr="003F0C6F">
        <w:rPr>
          <w:rFonts w:eastAsia="Century Gothic" w:cs="Times New Roman"/>
          <w:color w:val="4D4F53"/>
        </w:rPr>
        <w:t>mproved stakeholder confidence and trust.</w:t>
      </w:r>
    </w:p>
    <w:p w14:paraId="52F0F4FE" w14:textId="03BD0D16" w:rsidR="003C529B" w:rsidRPr="003C529B" w:rsidRDefault="003C529B" w:rsidP="003C529B">
      <w:pPr>
        <w:tabs>
          <w:tab w:val="left" w:pos="6030"/>
        </w:tabs>
        <w:rPr>
          <w:rFonts w:eastAsia="Century Gothic" w:cs="Times New Roman"/>
        </w:rPr>
      </w:pPr>
    </w:p>
    <w:p w14:paraId="353E6FB5" w14:textId="77777777" w:rsidR="007A2C01" w:rsidRPr="007A2C01" w:rsidRDefault="007A2C01" w:rsidP="007A2C01">
      <w:pPr>
        <w:keepNext/>
        <w:keepLines/>
        <w:spacing w:before="120" w:after="60"/>
        <w:outlineLvl w:val="2"/>
        <w:rPr>
          <w:rFonts w:eastAsia="Times New Roman" w:cs="Times New Roman"/>
          <w:b/>
          <w:color w:val="00A9E0" w:themeColor="accent1"/>
          <w:sz w:val="24"/>
          <w:szCs w:val="24"/>
          <w:lang w:val="en-US"/>
        </w:rPr>
      </w:pPr>
      <w:r w:rsidRPr="007A2C01">
        <w:rPr>
          <w:rFonts w:eastAsia="Times New Roman" w:cs="Times New Roman"/>
          <w:b/>
          <w:color w:val="00A9E0" w:themeColor="accent1"/>
          <w:sz w:val="24"/>
          <w:szCs w:val="24"/>
          <w:lang w:val="en-US"/>
        </w:rPr>
        <w:t>Goodstart's approach to risk management</w:t>
      </w:r>
    </w:p>
    <w:p w14:paraId="37503B10" w14:textId="77777777" w:rsidR="007A2C01" w:rsidRPr="00B453D6" w:rsidRDefault="007A2C01" w:rsidP="007A2C01">
      <w:pPr>
        <w:rPr>
          <w:rFonts w:eastAsia="Century Gothic" w:cs="Times New Roman"/>
          <w:color w:val="4D4F53"/>
        </w:rPr>
      </w:pPr>
      <w:r w:rsidRPr="00B453D6">
        <w:rPr>
          <w:rFonts w:eastAsia="Century Gothic" w:cs="Times New Roman"/>
          <w:color w:val="4D4F53"/>
        </w:rPr>
        <w:t>Goodstart is committed to a common approach to risk management to ensure that the likelihood and severity of risk are considered equally across the organisation and activities. To achieve this consistency, Goodstart has developed a risk management approach aligned with the International Standard on Risk Management - Guidelines ISO 31000:2018.</w:t>
      </w:r>
    </w:p>
    <w:p w14:paraId="1BF69328" w14:textId="3A0BD4BA" w:rsidR="007A2C01" w:rsidRPr="00B453D6" w:rsidRDefault="007A2C01" w:rsidP="007A2C01">
      <w:pPr>
        <w:rPr>
          <w:rFonts w:eastAsia="Century Gothic" w:cs="Times New Roman"/>
          <w:color w:val="4D4F53"/>
        </w:rPr>
      </w:pPr>
      <w:r w:rsidRPr="00B453D6">
        <w:rPr>
          <w:rFonts w:eastAsia="Century Gothic" w:cs="Times New Roman"/>
          <w:noProof/>
          <w:color w:val="4D4F53"/>
        </w:rPr>
        <w:lastRenderedPageBreak/>
        <w:drawing>
          <wp:anchor distT="107950" distB="180340" distL="114300" distR="114300" simplePos="0" relativeHeight="251658240" behindDoc="0" locked="0" layoutInCell="1" allowOverlap="1" wp14:anchorId="27AF2273" wp14:editId="04C9559F">
            <wp:simplePos x="0" y="0"/>
            <wp:positionH relativeFrom="margin">
              <wp:posOffset>706863</wp:posOffset>
            </wp:positionH>
            <wp:positionV relativeFrom="page">
              <wp:posOffset>3700816</wp:posOffset>
            </wp:positionV>
            <wp:extent cx="5123815" cy="2736850"/>
            <wp:effectExtent l="0" t="0" r="0" b="25400"/>
            <wp:wrapTopAndBottom/>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Pr="00B453D6">
        <w:rPr>
          <w:rFonts w:eastAsia="Century Gothic" w:cs="Times New Roman"/>
          <w:color w:val="4D4F53"/>
        </w:rPr>
        <w:t>Our approach to risk management is built around the identification and management of enterprise risks — those risks that impact Goodstart as a whole and our ability to achieve our strategic objectives. These risks can originate from sources either internal or external to Goodstart, and include operational, regulatory, financial, safety</w:t>
      </w:r>
      <w:r w:rsidR="00D208D1">
        <w:rPr>
          <w:rFonts w:eastAsia="Century Gothic" w:cs="Times New Roman"/>
          <w:color w:val="4D4F53"/>
        </w:rPr>
        <w:t>, safeguarding</w:t>
      </w:r>
      <w:r w:rsidRPr="00B453D6">
        <w:rPr>
          <w:rFonts w:eastAsia="Century Gothic" w:cs="Times New Roman"/>
          <w:color w:val="4D4F53"/>
        </w:rPr>
        <w:t xml:space="preserve"> and compliance risks. Generally, these risks remain relatively stable over time, although the controls used to manage the risks may change. These risks and key controls are included in the enterprise risk register and are report</w:t>
      </w:r>
      <w:r>
        <w:rPr>
          <w:rFonts w:eastAsia="Century Gothic" w:cs="Times New Roman"/>
          <w:color w:val="4D4F53"/>
        </w:rPr>
        <w:t>ed</w:t>
      </w:r>
      <w:r w:rsidRPr="00B453D6">
        <w:rPr>
          <w:rFonts w:eastAsia="Century Gothic" w:cs="Times New Roman"/>
          <w:color w:val="4D4F53"/>
        </w:rPr>
        <w:t xml:space="preserve"> to the </w:t>
      </w:r>
      <w:r w:rsidR="00382C2A">
        <w:rPr>
          <w:rFonts w:eastAsia="Century Gothic" w:cs="Times New Roman"/>
          <w:color w:val="4D4F53"/>
        </w:rPr>
        <w:t xml:space="preserve">Senior </w:t>
      </w:r>
      <w:r w:rsidR="00F63382">
        <w:rPr>
          <w:rFonts w:eastAsia="Century Gothic" w:cs="Times New Roman"/>
          <w:color w:val="4D4F53"/>
        </w:rPr>
        <w:t>Leadership Team</w:t>
      </w:r>
      <w:r w:rsidR="00B10BBB">
        <w:rPr>
          <w:rFonts w:eastAsia="Century Gothic" w:cs="Times New Roman"/>
          <w:color w:val="4D4F53"/>
        </w:rPr>
        <w:t xml:space="preserve"> </w:t>
      </w:r>
      <w:r w:rsidR="00382C2A">
        <w:rPr>
          <w:rFonts w:eastAsia="Century Gothic" w:cs="Times New Roman"/>
          <w:color w:val="4D4F53"/>
        </w:rPr>
        <w:t xml:space="preserve"> </w:t>
      </w:r>
      <w:r w:rsidR="00F36920">
        <w:rPr>
          <w:rFonts w:eastAsia="Century Gothic" w:cs="Times New Roman"/>
          <w:color w:val="4D4F53"/>
        </w:rPr>
        <w:t>Risk and Assurance Committee</w:t>
      </w:r>
      <w:r w:rsidR="009E7C30">
        <w:rPr>
          <w:rFonts w:eastAsia="Century Gothic" w:cs="Times New Roman"/>
          <w:color w:val="4D4F53"/>
        </w:rPr>
        <w:t xml:space="preserve"> SLT RA</w:t>
      </w:r>
      <w:r w:rsidR="003C49E3">
        <w:rPr>
          <w:rFonts w:eastAsia="Century Gothic" w:cs="Times New Roman"/>
          <w:color w:val="4D4F53"/>
        </w:rPr>
        <w:t xml:space="preserve"> Committee</w:t>
      </w:r>
      <w:r w:rsidR="0059173B">
        <w:rPr>
          <w:rFonts w:eastAsia="Century Gothic" w:cs="Times New Roman"/>
          <w:color w:val="4D4F53"/>
        </w:rPr>
        <w:t>, the</w:t>
      </w:r>
      <w:r w:rsidRPr="00B453D6">
        <w:rPr>
          <w:rFonts w:eastAsia="Century Gothic" w:cs="Times New Roman"/>
          <w:color w:val="4D4F53"/>
        </w:rPr>
        <w:t xml:space="preserve"> </w:t>
      </w:r>
      <w:r>
        <w:rPr>
          <w:rFonts w:eastAsia="Century Gothic" w:cs="Times New Roman"/>
          <w:color w:val="4D4F53"/>
        </w:rPr>
        <w:t xml:space="preserve">Finance, </w:t>
      </w:r>
      <w:r w:rsidRPr="00B453D6">
        <w:rPr>
          <w:rFonts w:eastAsia="Century Gothic" w:cs="Times New Roman"/>
          <w:color w:val="4D4F53"/>
        </w:rPr>
        <w:t>Audit and Risk Committee (</w:t>
      </w:r>
      <w:r>
        <w:rPr>
          <w:rFonts w:eastAsia="Century Gothic" w:cs="Times New Roman"/>
          <w:color w:val="4D4F53"/>
        </w:rPr>
        <w:t>F</w:t>
      </w:r>
      <w:r w:rsidRPr="00B453D6">
        <w:rPr>
          <w:rFonts w:eastAsia="Century Gothic" w:cs="Times New Roman"/>
          <w:color w:val="4D4F53"/>
        </w:rPr>
        <w:t>AR</w:t>
      </w:r>
      <w:r>
        <w:rPr>
          <w:rFonts w:eastAsia="Century Gothic" w:cs="Times New Roman"/>
          <w:color w:val="4D4F53"/>
        </w:rPr>
        <w:t xml:space="preserve"> </w:t>
      </w:r>
      <w:r w:rsidRPr="00B453D6">
        <w:rPr>
          <w:rFonts w:eastAsia="Century Gothic" w:cs="Times New Roman"/>
          <w:color w:val="4D4F53"/>
        </w:rPr>
        <w:t>C</w:t>
      </w:r>
      <w:r>
        <w:rPr>
          <w:rFonts w:eastAsia="Century Gothic" w:cs="Times New Roman"/>
          <w:color w:val="4D4F53"/>
        </w:rPr>
        <w:t>ommittee</w:t>
      </w:r>
      <w:r w:rsidRPr="00B453D6">
        <w:rPr>
          <w:rFonts w:eastAsia="Century Gothic" w:cs="Times New Roman"/>
          <w:color w:val="4D4F53"/>
        </w:rPr>
        <w:t>) and the Board on a quarterly basis.</w:t>
      </w:r>
    </w:p>
    <w:p w14:paraId="5D781DCD" w14:textId="77777777" w:rsidR="007A2C01" w:rsidRPr="00B453D6" w:rsidRDefault="007A2C01" w:rsidP="007A2C01">
      <w:pPr>
        <w:rPr>
          <w:rFonts w:eastAsia="Century Gothic" w:cs="Times New Roman"/>
          <w:color w:val="4D4F53"/>
        </w:rPr>
      </w:pPr>
      <w:r w:rsidRPr="00B453D6">
        <w:rPr>
          <w:rFonts w:eastAsia="Century Gothic" w:cs="Times New Roman"/>
          <w:color w:val="4D4F53"/>
        </w:rPr>
        <w:t>Enterprise risks are supported by operational risks aligned to service delivery. We have commenced identifying and managing operational risks and will continue to embed operational risk management across Goodstart.</w:t>
      </w:r>
    </w:p>
    <w:p w14:paraId="641C2B1F" w14:textId="77777777" w:rsidR="007A2C01" w:rsidRDefault="007A2C01" w:rsidP="007A2C01">
      <w:pPr>
        <w:rPr>
          <w:rFonts w:eastAsia="Century Gothic" w:cs="Times New Roman"/>
          <w:color w:val="4D4F53"/>
        </w:rPr>
      </w:pPr>
      <w:r w:rsidRPr="00B453D6">
        <w:rPr>
          <w:rFonts w:eastAsia="Century Gothic" w:cs="Times New Roman"/>
          <w:color w:val="4D4F53"/>
        </w:rPr>
        <w:t>Some specialist risks such as workplace health and safety and regulatory compliance have their own legislation and reporting obligations.  Goodstart may implement customised risk management processes to assist in the management of specialist risks. It is expected that these customised risk management processes will align with this policy and any additional guidance.</w:t>
      </w:r>
    </w:p>
    <w:p w14:paraId="7C9805BD" w14:textId="77777777" w:rsidR="00B55D19" w:rsidRPr="00B55D19" w:rsidRDefault="00B55D19" w:rsidP="00B55D19">
      <w:pPr>
        <w:keepNext/>
        <w:keepLines/>
        <w:spacing w:before="120" w:after="60"/>
        <w:outlineLvl w:val="2"/>
        <w:rPr>
          <w:rFonts w:eastAsia="Times New Roman" w:cs="Times New Roman"/>
          <w:b/>
          <w:color w:val="00A9E0" w:themeColor="accent1"/>
          <w:sz w:val="24"/>
          <w:szCs w:val="24"/>
          <w:lang w:val="en-US"/>
        </w:rPr>
      </w:pPr>
      <w:r w:rsidRPr="00B55D19">
        <w:rPr>
          <w:rFonts w:eastAsia="Times New Roman" w:cs="Times New Roman"/>
          <w:b/>
          <w:color w:val="00A9E0" w:themeColor="accent1"/>
          <w:sz w:val="24"/>
          <w:szCs w:val="24"/>
          <w:lang w:val="en-US"/>
        </w:rPr>
        <w:t>Risk appetite</w:t>
      </w:r>
    </w:p>
    <w:p w14:paraId="6F211972" w14:textId="77777777" w:rsidR="00B55D19" w:rsidRDefault="00B55D19" w:rsidP="00B55D19">
      <w:pPr>
        <w:rPr>
          <w:rFonts w:eastAsia="Century Gothic" w:cs="Times New Roman"/>
          <w:color w:val="4D4F53"/>
        </w:rPr>
      </w:pPr>
      <w:r w:rsidRPr="00B453D6">
        <w:rPr>
          <w:rFonts w:eastAsia="Century Gothic" w:cs="Times New Roman"/>
          <w:color w:val="4D4F53"/>
        </w:rPr>
        <w:t xml:space="preserve">Risk appetite </w:t>
      </w:r>
      <w:r w:rsidRPr="002957F7">
        <w:rPr>
          <w:rFonts w:eastAsia="Century Gothic" w:cs="Times New Roman"/>
          <w:color w:val="4D4F53"/>
        </w:rPr>
        <w:t xml:space="preserve">is defined through risk appetite statements </w:t>
      </w:r>
      <w:r w:rsidRPr="00B453D6">
        <w:rPr>
          <w:rFonts w:eastAsia="Century Gothic" w:cs="Times New Roman"/>
          <w:color w:val="4D4F53"/>
        </w:rPr>
        <w:t xml:space="preserve">and risk tolerance </w:t>
      </w:r>
      <w:r>
        <w:rPr>
          <w:rFonts w:eastAsia="Century Gothic" w:cs="Times New Roman"/>
          <w:color w:val="4D4F53"/>
        </w:rPr>
        <w:t xml:space="preserve">ranges that </w:t>
      </w:r>
      <w:r w:rsidRPr="00B453D6">
        <w:rPr>
          <w:rFonts w:eastAsia="Century Gothic" w:cs="Times New Roman"/>
          <w:color w:val="4D4F53"/>
        </w:rPr>
        <w:t xml:space="preserve">set the boundaries for how much risk Goodstart is willing to accept. Our risk appetite </w:t>
      </w:r>
      <w:r>
        <w:rPr>
          <w:rFonts w:eastAsia="Century Gothic" w:cs="Times New Roman"/>
          <w:color w:val="4D4F53"/>
        </w:rPr>
        <w:t xml:space="preserve">statements describe the </w:t>
      </w:r>
      <w:r w:rsidRPr="00B453D6">
        <w:rPr>
          <w:rFonts w:eastAsia="Century Gothic" w:cs="Times New Roman"/>
          <w:color w:val="4D4F53"/>
        </w:rPr>
        <w:t xml:space="preserve">level of risk that the Board have deemed as broadly acceptable, while our risk tolerance is the amount of risk related to a specific objective. </w:t>
      </w:r>
    </w:p>
    <w:p w14:paraId="63DA18EE" w14:textId="73F09791" w:rsidR="00B55D19" w:rsidRPr="00B453D6" w:rsidRDefault="009A25CF" w:rsidP="00055EAC">
      <w:pPr>
        <w:tabs>
          <w:tab w:val="left" w:pos="2640"/>
        </w:tabs>
        <w:rPr>
          <w:rFonts w:eastAsia="Century Gothic" w:cs="Times New Roman"/>
          <w:color w:val="4D4F53"/>
        </w:rPr>
      </w:pPr>
      <w:r>
        <w:rPr>
          <w:rFonts w:eastAsia="Century Gothic" w:cs="Times New Roman"/>
        </w:rPr>
        <w:t>T</w:t>
      </w:r>
      <w:r w:rsidR="00B55D19" w:rsidRPr="00B453D6">
        <w:rPr>
          <w:rFonts w:eastAsia="Century Gothic" w:cs="Times New Roman"/>
          <w:color w:val="4D4F53"/>
        </w:rPr>
        <w:t xml:space="preserve">o achieve our objectives, Goodstart </w:t>
      </w:r>
      <w:r w:rsidR="00625D03">
        <w:rPr>
          <w:rFonts w:eastAsia="Century Gothic" w:cs="Times New Roman"/>
          <w:color w:val="4D4F53"/>
        </w:rPr>
        <w:t xml:space="preserve">identifies and </w:t>
      </w:r>
      <w:r w:rsidR="00B55D19" w:rsidRPr="00B453D6">
        <w:rPr>
          <w:rFonts w:eastAsia="Century Gothic" w:cs="Times New Roman"/>
          <w:color w:val="4D4F53"/>
        </w:rPr>
        <w:t>engages with risk</w:t>
      </w:r>
      <w:r w:rsidR="00625D03">
        <w:rPr>
          <w:rFonts w:eastAsia="Century Gothic" w:cs="Times New Roman"/>
          <w:color w:val="4D4F53"/>
        </w:rPr>
        <w:t>,</w:t>
      </w:r>
      <w:r w:rsidR="00B55D19" w:rsidRPr="00B453D6">
        <w:rPr>
          <w:rFonts w:eastAsia="Century Gothic" w:cs="Times New Roman"/>
          <w:color w:val="4D4F53"/>
        </w:rPr>
        <w:t xml:space="preserve"> and manages it accordingly. This means that, while some risks are acceptable, others are not. Where the level of risk is deemed unacceptable, Goodstart invests additional resources to m</w:t>
      </w:r>
      <w:r w:rsidR="00BD7435">
        <w:rPr>
          <w:rFonts w:eastAsia="Century Gothic" w:cs="Times New Roman"/>
          <w:color w:val="4D4F53"/>
        </w:rPr>
        <w:t>anage</w:t>
      </w:r>
      <w:r w:rsidR="00B55D19" w:rsidRPr="00B453D6">
        <w:rPr>
          <w:rFonts w:eastAsia="Century Gothic" w:cs="Times New Roman"/>
          <w:color w:val="4D4F53"/>
        </w:rPr>
        <w:t xml:space="preserve"> the risk, and undertakes assurance activities to confirm that risk management is adequate and effective.</w:t>
      </w:r>
    </w:p>
    <w:p w14:paraId="40FB5FAB" w14:textId="001C865B" w:rsidR="00B55D19" w:rsidRPr="00B55D19" w:rsidRDefault="00B55D19" w:rsidP="00B55D19">
      <w:pPr>
        <w:keepNext/>
        <w:keepLines/>
        <w:spacing w:before="120" w:after="60"/>
        <w:outlineLvl w:val="2"/>
        <w:rPr>
          <w:rFonts w:eastAsia="Times New Roman" w:cs="Times New Roman"/>
          <w:b/>
          <w:color w:val="00A9E0" w:themeColor="accent1"/>
          <w:sz w:val="24"/>
          <w:szCs w:val="24"/>
          <w:lang w:val="en-US"/>
        </w:rPr>
      </w:pPr>
      <w:r w:rsidRPr="00B55D19">
        <w:rPr>
          <w:rFonts w:eastAsia="Times New Roman" w:cs="Times New Roman"/>
          <w:b/>
          <w:color w:val="00A9E0" w:themeColor="accent1"/>
          <w:sz w:val="24"/>
          <w:szCs w:val="24"/>
          <w:lang w:val="en-US"/>
        </w:rPr>
        <w:t>Goodstart's approach to assurance</w:t>
      </w:r>
    </w:p>
    <w:p w14:paraId="0691EA9B" w14:textId="77777777" w:rsidR="00B55D19" w:rsidRPr="00B453D6" w:rsidRDefault="00B55D19" w:rsidP="00B55D19">
      <w:pPr>
        <w:rPr>
          <w:rFonts w:eastAsia="Century Gothic" w:cs="Times New Roman"/>
          <w:color w:val="4D4F53"/>
        </w:rPr>
      </w:pPr>
      <w:r w:rsidRPr="00B453D6">
        <w:rPr>
          <w:rFonts w:eastAsia="Century Gothic" w:cs="Times New Roman"/>
          <w:color w:val="4D4F53"/>
        </w:rPr>
        <w:t xml:space="preserve">Goodstart is committed to ensuring the actions and activities designed to support Goodstarters to in turn support children, operate as intended. However, we also recognise the challenges of maintaining a child-centric environment and are committed to reducing unnecessary </w:t>
      </w:r>
      <w:r w:rsidRPr="00B453D6">
        <w:rPr>
          <w:rFonts w:eastAsia="Century Gothic" w:cs="Times New Roman"/>
          <w:color w:val="4D4F53"/>
        </w:rPr>
        <w:lastRenderedPageBreak/>
        <w:t>administrative burden wherever possible. To this end, we are focused on ensuring that the key controls necessary to deliver quality outcomes exist, are correctly designed, and operate efficiently and effectively.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3"/>
        <w:gridCol w:w="2127"/>
        <w:gridCol w:w="3968"/>
        <w:gridCol w:w="2262"/>
      </w:tblGrid>
      <w:tr w:rsidR="00B55D19" w:rsidRPr="00B453D6" w14:paraId="439DC4AB" w14:textId="77777777" w:rsidTr="00D47FDF">
        <w:trPr>
          <w:trHeight w:val="538"/>
        </w:trPr>
        <w:tc>
          <w:tcPr>
            <w:tcW w:w="611" w:type="pct"/>
            <w:shd w:val="clear" w:color="auto" w:fill="CACBCD"/>
            <w:tcMar>
              <w:top w:w="0" w:type="dxa"/>
              <w:left w:w="108" w:type="dxa"/>
              <w:bottom w:w="0" w:type="dxa"/>
              <w:right w:w="108" w:type="dxa"/>
            </w:tcMar>
            <w:vAlign w:val="center"/>
            <w:hideMark/>
          </w:tcPr>
          <w:p w14:paraId="26E1FABA" w14:textId="77777777" w:rsidR="00B55D19" w:rsidRPr="00B453D6" w:rsidRDefault="00B55D19" w:rsidP="005A07A9">
            <w:pPr>
              <w:rPr>
                <w:rFonts w:eastAsia="Century Gothic" w:cs="Times New Roman"/>
                <w:color w:val="4D4F53"/>
              </w:rPr>
            </w:pPr>
            <w:r w:rsidRPr="00B453D6">
              <w:rPr>
                <w:rFonts w:eastAsia="Century Gothic" w:cs="Times New Roman"/>
                <w:color w:val="4D4F53"/>
              </w:rPr>
              <w:t>Line</w:t>
            </w:r>
          </w:p>
        </w:tc>
        <w:tc>
          <w:tcPr>
            <w:tcW w:w="1117" w:type="pct"/>
            <w:shd w:val="clear" w:color="auto" w:fill="CACBCD"/>
            <w:tcMar>
              <w:top w:w="0" w:type="dxa"/>
              <w:left w:w="108" w:type="dxa"/>
              <w:bottom w:w="0" w:type="dxa"/>
              <w:right w:w="108" w:type="dxa"/>
            </w:tcMar>
            <w:vAlign w:val="center"/>
            <w:hideMark/>
          </w:tcPr>
          <w:p w14:paraId="465C70CF" w14:textId="77777777" w:rsidR="00B55D19" w:rsidRPr="00B453D6" w:rsidRDefault="00B55D19" w:rsidP="005A07A9">
            <w:pPr>
              <w:rPr>
                <w:rFonts w:eastAsia="Century Gothic" w:cs="Times New Roman"/>
                <w:color w:val="4D4F53"/>
              </w:rPr>
            </w:pPr>
            <w:r w:rsidRPr="00B453D6">
              <w:rPr>
                <w:rFonts w:eastAsia="Century Gothic" w:cs="Times New Roman"/>
                <w:color w:val="4D4F53"/>
              </w:rPr>
              <w:t>Who is responsible</w:t>
            </w:r>
          </w:p>
        </w:tc>
        <w:tc>
          <w:tcPr>
            <w:tcW w:w="2084" w:type="pct"/>
            <w:shd w:val="clear" w:color="auto" w:fill="CACBCD"/>
            <w:tcMar>
              <w:top w:w="0" w:type="dxa"/>
              <w:left w:w="108" w:type="dxa"/>
              <w:bottom w:w="0" w:type="dxa"/>
              <w:right w:w="108" w:type="dxa"/>
            </w:tcMar>
            <w:vAlign w:val="center"/>
            <w:hideMark/>
          </w:tcPr>
          <w:p w14:paraId="63609ABA" w14:textId="77777777" w:rsidR="00B55D19" w:rsidRPr="00B453D6" w:rsidRDefault="00B55D19" w:rsidP="005A07A9">
            <w:pPr>
              <w:rPr>
                <w:rFonts w:eastAsia="Century Gothic" w:cs="Times New Roman"/>
                <w:color w:val="4D4F53"/>
              </w:rPr>
            </w:pPr>
            <w:r w:rsidRPr="00B453D6">
              <w:rPr>
                <w:rFonts w:eastAsia="Century Gothic" w:cs="Times New Roman"/>
                <w:color w:val="4D4F53"/>
              </w:rPr>
              <w:t>Responsibilities</w:t>
            </w:r>
          </w:p>
        </w:tc>
        <w:tc>
          <w:tcPr>
            <w:tcW w:w="1188" w:type="pct"/>
            <w:shd w:val="clear" w:color="auto" w:fill="CACBCD"/>
            <w:tcMar>
              <w:top w:w="0" w:type="dxa"/>
              <w:left w:w="108" w:type="dxa"/>
              <w:bottom w:w="0" w:type="dxa"/>
              <w:right w:w="108" w:type="dxa"/>
            </w:tcMar>
            <w:vAlign w:val="center"/>
            <w:hideMark/>
          </w:tcPr>
          <w:p w14:paraId="0C1CB022" w14:textId="77777777" w:rsidR="00B55D19" w:rsidRPr="00B453D6" w:rsidRDefault="00B55D19" w:rsidP="005A07A9">
            <w:pPr>
              <w:rPr>
                <w:rFonts w:eastAsia="Century Gothic" w:cs="Times New Roman"/>
                <w:color w:val="4D4F53"/>
              </w:rPr>
            </w:pPr>
            <w:r w:rsidRPr="00B453D6">
              <w:rPr>
                <w:rFonts w:eastAsia="Century Gothic" w:cs="Times New Roman"/>
                <w:color w:val="4D4F53"/>
              </w:rPr>
              <w:t>Who oversees</w:t>
            </w:r>
          </w:p>
        </w:tc>
      </w:tr>
      <w:tr w:rsidR="00B55D19" w:rsidRPr="00B453D6" w14:paraId="1422CA47" w14:textId="77777777" w:rsidTr="00D47FDF">
        <w:trPr>
          <w:trHeight w:val="957"/>
        </w:trPr>
        <w:tc>
          <w:tcPr>
            <w:tcW w:w="611" w:type="pct"/>
            <w:tcMar>
              <w:top w:w="0" w:type="dxa"/>
              <w:left w:w="108" w:type="dxa"/>
              <w:bottom w:w="0" w:type="dxa"/>
              <w:right w:w="108" w:type="dxa"/>
            </w:tcMar>
            <w:hideMark/>
          </w:tcPr>
          <w:p w14:paraId="168EB66E"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First Line</w:t>
            </w:r>
          </w:p>
        </w:tc>
        <w:tc>
          <w:tcPr>
            <w:tcW w:w="1117" w:type="pct"/>
            <w:tcMar>
              <w:top w:w="0" w:type="dxa"/>
              <w:left w:w="108" w:type="dxa"/>
              <w:bottom w:w="0" w:type="dxa"/>
              <w:right w:w="108" w:type="dxa"/>
            </w:tcMar>
          </w:tcPr>
          <w:p w14:paraId="7BF9596C"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Centres, State/Business units and operational functions</w:t>
            </w:r>
          </w:p>
          <w:p w14:paraId="27E87EAB" w14:textId="77777777" w:rsidR="00B55D19" w:rsidRPr="00B453D6" w:rsidRDefault="00B55D19" w:rsidP="00EE3B45">
            <w:pPr>
              <w:spacing w:before="60" w:after="60"/>
              <w:rPr>
                <w:rFonts w:eastAsia="Century Gothic" w:cs="Times New Roman"/>
                <w:color w:val="4D4F53"/>
              </w:rPr>
            </w:pPr>
          </w:p>
        </w:tc>
        <w:tc>
          <w:tcPr>
            <w:tcW w:w="2084" w:type="pct"/>
            <w:tcMar>
              <w:top w:w="0" w:type="dxa"/>
              <w:left w:w="108" w:type="dxa"/>
              <w:bottom w:w="0" w:type="dxa"/>
              <w:right w:w="108" w:type="dxa"/>
            </w:tcMar>
            <w:hideMark/>
          </w:tcPr>
          <w:p w14:paraId="1D503878"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Manage the day-to-day risks and compliance obligations associated with activities within the approved risk appetite, policy</w:t>
            </w:r>
            <w:r>
              <w:rPr>
                <w:rFonts w:eastAsia="Century Gothic" w:cs="Times New Roman"/>
                <w:color w:val="4D4F53"/>
              </w:rPr>
              <w:t>,</w:t>
            </w:r>
            <w:r w:rsidRPr="00B453D6">
              <w:rPr>
                <w:rFonts w:eastAsia="Century Gothic" w:cs="Times New Roman"/>
                <w:color w:val="4D4F53"/>
              </w:rPr>
              <w:t xml:space="preserve"> and process.</w:t>
            </w:r>
          </w:p>
          <w:p w14:paraId="29931EF9"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Provide assurance (check) that centre-based activities to manage risks are working as intended and participate in Goodstart-wide activities.</w:t>
            </w:r>
          </w:p>
          <w:p w14:paraId="0C1805F6"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 xml:space="preserve">Identify, own, escalate and remediate issues. </w:t>
            </w:r>
          </w:p>
          <w:p w14:paraId="10A95722"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 xml:space="preserve">Understand and comply with laws and regulations. </w:t>
            </w:r>
          </w:p>
        </w:tc>
        <w:tc>
          <w:tcPr>
            <w:tcW w:w="1188" w:type="pct"/>
            <w:vMerge w:val="restart"/>
            <w:tcMar>
              <w:top w:w="0" w:type="dxa"/>
              <w:left w:w="108" w:type="dxa"/>
              <w:bottom w:w="0" w:type="dxa"/>
              <w:right w:w="108" w:type="dxa"/>
            </w:tcMar>
            <w:hideMark/>
          </w:tcPr>
          <w:p w14:paraId="4B805FA2" w14:textId="77777777" w:rsidR="00B55D19" w:rsidRPr="00B453D6" w:rsidRDefault="00B55D19" w:rsidP="00EE3B45">
            <w:pPr>
              <w:spacing w:before="60" w:after="60"/>
              <w:rPr>
                <w:rFonts w:eastAsia="Century Gothic" w:cs="Times New Roman"/>
                <w:color w:val="4D4F53"/>
              </w:rPr>
            </w:pPr>
            <w:r w:rsidRPr="00B453D6">
              <w:rPr>
                <w:rFonts w:eastAsia="Century Gothic" w:cs="Times New Roman"/>
                <w:color w:val="4D4F53"/>
              </w:rPr>
              <w:t>Board oversees all aspects of risk management and assurance and sets the tone for Goodstart's risk aware culture.</w:t>
            </w:r>
          </w:p>
          <w:p w14:paraId="16E1B11B" w14:textId="77777777" w:rsidR="00B55D19" w:rsidRPr="00B453D6" w:rsidRDefault="00B55D19" w:rsidP="00EE3B45">
            <w:pPr>
              <w:spacing w:before="60" w:after="60"/>
              <w:rPr>
                <w:rFonts w:eastAsia="Century Gothic" w:cs="Times New Roman"/>
                <w:color w:val="4D4F53"/>
              </w:rPr>
            </w:pPr>
            <w:r>
              <w:rPr>
                <w:rFonts w:eastAsia="Century Gothic" w:cs="Times New Roman"/>
                <w:color w:val="4D4F53"/>
              </w:rPr>
              <w:t>F</w:t>
            </w:r>
            <w:r w:rsidRPr="00B453D6">
              <w:rPr>
                <w:rFonts w:eastAsia="Century Gothic" w:cs="Times New Roman"/>
                <w:color w:val="4D4F53"/>
              </w:rPr>
              <w:t>AR</w:t>
            </w:r>
            <w:r>
              <w:rPr>
                <w:rFonts w:eastAsia="Century Gothic" w:cs="Times New Roman"/>
                <w:color w:val="4D4F53"/>
              </w:rPr>
              <w:t xml:space="preserve"> </w:t>
            </w:r>
            <w:r w:rsidRPr="00B453D6">
              <w:rPr>
                <w:rFonts w:eastAsia="Century Gothic" w:cs="Times New Roman"/>
                <w:color w:val="4D4F53"/>
              </w:rPr>
              <w:t>C</w:t>
            </w:r>
            <w:r>
              <w:rPr>
                <w:rFonts w:eastAsia="Century Gothic" w:cs="Times New Roman"/>
                <w:color w:val="4D4F53"/>
              </w:rPr>
              <w:t>ommittee</w:t>
            </w:r>
            <w:r w:rsidRPr="00B453D6">
              <w:rPr>
                <w:rFonts w:eastAsia="Century Gothic" w:cs="Times New Roman"/>
                <w:color w:val="4D4F53"/>
              </w:rPr>
              <w:t xml:space="preserve"> monitors and advises on the development and design of risk appetite statements, risk and compliance governance frameworks and policies, for approval by the Board.</w:t>
            </w:r>
          </w:p>
          <w:p w14:paraId="6B5417D2" w14:textId="6FF38F82" w:rsidR="00B55D19" w:rsidRPr="00B453D6" w:rsidRDefault="001869E0" w:rsidP="00EE3B45">
            <w:pPr>
              <w:spacing w:before="60" w:after="60"/>
              <w:rPr>
                <w:rFonts w:eastAsia="Century Gothic" w:cs="Times New Roman"/>
                <w:color w:val="4D4F53"/>
              </w:rPr>
            </w:pPr>
            <w:r>
              <w:rPr>
                <w:rFonts w:eastAsia="Century Gothic" w:cs="Times New Roman"/>
                <w:color w:val="4D4F53"/>
              </w:rPr>
              <w:t>S</w:t>
            </w:r>
            <w:r w:rsidR="00B55D19" w:rsidRPr="00B453D6">
              <w:rPr>
                <w:rFonts w:eastAsia="Century Gothic" w:cs="Times New Roman"/>
                <w:color w:val="4D4F53"/>
              </w:rPr>
              <w:t>LT develops Goodstart's risk aware culture, undertakes business decision-making in line with established frameworks and embeds the risk management and assurance frameworks.</w:t>
            </w:r>
          </w:p>
        </w:tc>
      </w:tr>
      <w:tr w:rsidR="00B55D19" w:rsidRPr="00B453D6" w14:paraId="39012AB9" w14:textId="77777777" w:rsidTr="00D47FDF">
        <w:trPr>
          <w:trHeight w:val="1267"/>
        </w:trPr>
        <w:tc>
          <w:tcPr>
            <w:tcW w:w="611" w:type="pct"/>
            <w:tcMar>
              <w:top w:w="0" w:type="dxa"/>
              <w:left w:w="108" w:type="dxa"/>
              <w:bottom w:w="0" w:type="dxa"/>
              <w:right w:w="108" w:type="dxa"/>
            </w:tcMar>
            <w:hideMark/>
          </w:tcPr>
          <w:p w14:paraId="15B6CA5B" w14:textId="77777777" w:rsidR="00B55D19" w:rsidRPr="00B453D6" w:rsidRDefault="00B55D19" w:rsidP="005A07A9">
            <w:pPr>
              <w:rPr>
                <w:rFonts w:eastAsia="Century Gothic" w:cs="Times New Roman"/>
                <w:color w:val="4D4F53"/>
              </w:rPr>
            </w:pPr>
            <w:r w:rsidRPr="00B453D6">
              <w:rPr>
                <w:rFonts w:eastAsia="Century Gothic" w:cs="Times New Roman"/>
                <w:color w:val="4D4F53"/>
              </w:rPr>
              <w:t>Second Line</w:t>
            </w:r>
          </w:p>
        </w:tc>
        <w:tc>
          <w:tcPr>
            <w:tcW w:w="1117" w:type="pct"/>
            <w:tcMar>
              <w:top w:w="0" w:type="dxa"/>
              <w:left w:w="108" w:type="dxa"/>
              <w:bottom w:w="0" w:type="dxa"/>
              <w:right w:w="108" w:type="dxa"/>
            </w:tcMar>
          </w:tcPr>
          <w:p w14:paraId="207DC041" w14:textId="77777777" w:rsidR="00B55D19" w:rsidRPr="00B453D6" w:rsidRDefault="00B55D19" w:rsidP="005A07A9">
            <w:pPr>
              <w:rPr>
                <w:rFonts w:eastAsia="Century Gothic" w:cs="Times New Roman"/>
                <w:color w:val="4D4F53"/>
              </w:rPr>
            </w:pPr>
            <w:r w:rsidRPr="00B453D6">
              <w:rPr>
                <w:rFonts w:eastAsia="Century Gothic" w:cs="Times New Roman"/>
                <w:color w:val="4D4F53"/>
              </w:rPr>
              <w:t>Internal advisors and subject matter experts</w:t>
            </w:r>
          </w:p>
          <w:p w14:paraId="13454420" w14:textId="77777777" w:rsidR="00B55D19" w:rsidRPr="00B453D6" w:rsidRDefault="00B55D19" w:rsidP="005A07A9">
            <w:pPr>
              <w:rPr>
                <w:rFonts w:eastAsia="Century Gothic" w:cs="Times New Roman"/>
                <w:color w:val="4D4F53"/>
              </w:rPr>
            </w:pPr>
            <w:r w:rsidRPr="00B453D6">
              <w:rPr>
                <w:rFonts w:eastAsia="Century Gothic" w:cs="Times New Roman"/>
                <w:color w:val="4D4F53"/>
              </w:rPr>
              <w:t>This includes Safety</w:t>
            </w:r>
            <w:r>
              <w:rPr>
                <w:rFonts w:eastAsia="Century Gothic" w:cs="Times New Roman"/>
                <w:color w:val="4D4F53"/>
              </w:rPr>
              <w:t xml:space="preserve">, Health </w:t>
            </w:r>
            <w:r w:rsidRPr="00B453D6">
              <w:rPr>
                <w:rFonts w:eastAsia="Century Gothic" w:cs="Times New Roman"/>
                <w:color w:val="4D4F53"/>
              </w:rPr>
              <w:t xml:space="preserve">and </w:t>
            </w:r>
            <w:r>
              <w:rPr>
                <w:rFonts w:eastAsia="Century Gothic" w:cs="Times New Roman"/>
                <w:color w:val="4D4F53"/>
              </w:rPr>
              <w:t>W</w:t>
            </w:r>
            <w:r w:rsidRPr="00B453D6">
              <w:rPr>
                <w:rFonts w:eastAsia="Century Gothic" w:cs="Times New Roman"/>
                <w:color w:val="4D4F53"/>
              </w:rPr>
              <w:t xml:space="preserve">ellbeing, Legal counsel, Risk </w:t>
            </w:r>
            <w:r>
              <w:rPr>
                <w:rFonts w:eastAsia="Century Gothic" w:cs="Times New Roman"/>
                <w:color w:val="4D4F53"/>
              </w:rPr>
              <w:t>Assurance,</w:t>
            </w:r>
            <w:r w:rsidRPr="00B453D6">
              <w:rPr>
                <w:rFonts w:eastAsia="Century Gothic" w:cs="Times New Roman"/>
                <w:color w:val="4D4F53"/>
              </w:rPr>
              <w:t xml:space="preserve"> Insurance, Quality, People Matters, Property and </w:t>
            </w:r>
            <w:r>
              <w:rPr>
                <w:rFonts w:eastAsia="Century Gothic" w:cs="Times New Roman"/>
                <w:color w:val="4D4F53"/>
              </w:rPr>
              <w:t>I</w:t>
            </w:r>
            <w:r w:rsidRPr="002957F7">
              <w:rPr>
                <w:rFonts w:eastAsia="Century Gothic" w:cs="Times New Roman"/>
                <w:color w:val="4D4F53"/>
              </w:rPr>
              <w:t>nformation Communication and Technology.</w:t>
            </w:r>
          </w:p>
        </w:tc>
        <w:tc>
          <w:tcPr>
            <w:tcW w:w="2084" w:type="pct"/>
            <w:tcMar>
              <w:top w:w="0" w:type="dxa"/>
              <w:left w:w="108" w:type="dxa"/>
              <w:bottom w:w="0" w:type="dxa"/>
              <w:right w:w="108" w:type="dxa"/>
            </w:tcMar>
            <w:hideMark/>
          </w:tcPr>
          <w:p w14:paraId="6353302D" w14:textId="77777777" w:rsidR="00B55D19" w:rsidRPr="00B453D6" w:rsidRDefault="00B55D19" w:rsidP="005A07A9">
            <w:pPr>
              <w:rPr>
                <w:rFonts w:eastAsia="Century Gothic" w:cs="Times New Roman"/>
                <w:color w:val="4D4F53"/>
              </w:rPr>
            </w:pPr>
            <w:r w:rsidRPr="00B453D6">
              <w:rPr>
                <w:rFonts w:eastAsia="Century Gothic" w:cs="Times New Roman"/>
                <w:color w:val="4D4F53"/>
              </w:rPr>
              <w:t>Establish and maintain the risk management framework and provide advice to the first line on the management of risk.</w:t>
            </w:r>
          </w:p>
          <w:p w14:paraId="096C232A" w14:textId="77777777" w:rsidR="00B55D19" w:rsidRPr="00B453D6" w:rsidRDefault="00B55D19" w:rsidP="005A07A9">
            <w:pPr>
              <w:rPr>
                <w:rFonts w:eastAsia="Century Gothic" w:cs="Times New Roman"/>
                <w:color w:val="4D4F53"/>
              </w:rPr>
            </w:pPr>
            <w:r w:rsidRPr="00B453D6">
              <w:rPr>
                <w:rFonts w:eastAsia="Century Gothic" w:cs="Times New Roman"/>
                <w:color w:val="4D4F53"/>
              </w:rPr>
              <w:t>Oversee the first line to ensure that risks are being monitored and managed against agreed processes and controls.</w:t>
            </w:r>
          </w:p>
          <w:p w14:paraId="148DBC8E" w14:textId="77777777" w:rsidR="00B55D19" w:rsidRPr="00B453D6" w:rsidRDefault="00B55D19" w:rsidP="005A07A9">
            <w:pPr>
              <w:rPr>
                <w:rFonts w:eastAsia="Century Gothic" w:cs="Times New Roman"/>
                <w:color w:val="4D4F53"/>
              </w:rPr>
            </w:pPr>
            <w:r w:rsidRPr="00B453D6">
              <w:rPr>
                <w:rFonts w:eastAsia="Century Gothic" w:cs="Times New Roman"/>
                <w:color w:val="4D4F53"/>
              </w:rPr>
              <w:t>Undertake assurance activities in line with established frameworks and plans in respect of all aspects of risk and compliance.</w:t>
            </w:r>
          </w:p>
          <w:p w14:paraId="1C875334" w14:textId="77777777" w:rsidR="00B55D19" w:rsidRPr="00B453D6" w:rsidRDefault="00B55D19" w:rsidP="005A07A9">
            <w:pPr>
              <w:rPr>
                <w:rFonts w:eastAsia="Century Gothic" w:cs="Times New Roman"/>
                <w:color w:val="4D4F53"/>
              </w:rPr>
            </w:pPr>
            <w:r w:rsidRPr="00B453D6">
              <w:rPr>
                <w:rFonts w:eastAsia="Century Gothic" w:cs="Times New Roman"/>
                <w:color w:val="4D4F53"/>
              </w:rPr>
              <w:t>Provide transparent reporting on the management of risk and conduct of assurance activities.</w:t>
            </w:r>
          </w:p>
        </w:tc>
        <w:tc>
          <w:tcPr>
            <w:tcW w:w="1188" w:type="pct"/>
            <w:vMerge/>
            <w:vAlign w:val="center"/>
            <w:hideMark/>
          </w:tcPr>
          <w:p w14:paraId="0E8FAD89" w14:textId="77777777" w:rsidR="00B55D19" w:rsidRPr="00B453D6" w:rsidRDefault="00B55D19" w:rsidP="005A07A9">
            <w:pPr>
              <w:rPr>
                <w:rFonts w:eastAsia="Century Gothic" w:cs="Times New Roman"/>
                <w:color w:val="4D4F53"/>
              </w:rPr>
            </w:pPr>
          </w:p>
        </w:tc>
      </w:tr>
      <w:tr w:rsidR="00B55D19" w:rsidRPr="00B453D6" w14:paraId="73F4AB02" w14:textId="77777777" w:rsidTr="00D47FDF">
        <w:trPr>
          <w:trHeight w:val="700"/>
        </w:trPr>
        <w:tc>
          <w:tcPr>
            <w:tcW w:w="611" w:type="pct"/>
            <w:tcMar>
              <w:top w:w="0" w:type="dxa"/>
              <w:left w:w="108" w:type="dxa"/>
              <w:bottom w:w="0" w:type="dxa"/>
              <w:right w:w="108" w:type="dxa"/>
            </w:tcMar>
            <w:hideMark/>
          </w:tcPr>
          <w:p w14:paraId="7CD0DFC2" w14:textId="77777777" w:rsidR="00B55D19" w:rsidRPr="00B453D6" w:rsidRDefault="00B55D19" w:rsidP="005A07A9">
            <w:pPr>
              <w:rPr>
                <w:rFonts w:eastAsia="Century Gothic" w:cs="Times New Roman"/>
                <w:color w:val="4D4F53"/>
              </w:rPr>
            </w:pPr>
            <w:r w:rsidRPr="00B453D6">
              <w:rPr>
                <w:rFonts w:eastAsia="Century Gothic" w:cs="Times New Roman"/>
                <w:color w:val="4D4F53"/>
              </w:rPr>
              <w:t>Third Line</w:t>
            </w:r>
          </w:p>
        </w:tc>
        <w:tc>
          <w:tcPr>
            <w:tcW w:w="1117" w:type="pct"/>
            <w:tcMar>
              <w:top w:w="0" w:type="dxa"/>
              <w:left w:w="108" w:type="dxa"/>
              <w:bottom w:w="0" w:type="dxa"/>
              <w:right w:w="108" w:type="dxa"/>
            </w:tcMar>
          </w:tcPr>
          <w:p w14:paraId="74250C89" w14:textId="77777777" w:rsidR="00B55D19" w:rsidRPr="00B453D6" w:rsidRDefault="00B55D19" w:rsidP="005A07A9">
            <w:pPr>
              <w:rPr>
                <w:rFonts w:eastAsia="Century Gothic" w:cs="Times New Roman"/>
                <w:color w:val="4D4F53"/>
              </w:rPr>
            </w:pPr>
            <w:r w:rsidRPr="00B453D6">
              <w:rPr>
                <w:rFonts w:eastAsia="Century Gothic" w:cs="Times New Roman"/>
                <w:color w:val="4D4F53"/>
              </w:rPr>
              <w:t>External advisory</w:t>
            </w:r>
          </w:p>
          <w:p w14:paraId="4C5ED5BC" w14:textId="77777777" w:rsidR="00B55D19" w:rsidRPr="00B453D6" w:rsidRDefault="00B55D19" w:rsidP="005A07A9">
            <w:pPr>
              <w:rPr>
                <w:rFonts w:eastAsia="Century Gothic" w:cs="Times New Roman"/>
                <w:color w:val="4D4F53"/>
              </w:rPr>
            </w:pPr>
            <w:r w:rsidRPr="00B453D6">
              <w:rPr>
                <w:rFonts w:eastAsia="Century Gothic" w:cs="Times New Roman"/>
                <w:color w:val="4D4F53"/>
              </w:rPr>
              <w:t>This includes internal/external audit programs and reviews</w:t>
            </w:r>
          </w:p>
        </w:tc>
        <w:tc>
          <w:tcPr>
            <w:tcW w:w="2084" w:type="pct"/>
            <w:tcMar>
              <w:top w:w="0" w:type="dxa"/>
              <w:left w:w="108" w:type="dxa"/>
              <w:bottom w:w="0" w:type="dxa"/>
              <w:right w:w="108" w:type="dxa"/>
            </w:tcMar>
            <w:hideMark/>
          </w:tcPr>
          <w:p w14:paraId="6D3A71C6" w14:textId="77777777" w:rsidR="00B55D19" w:rsidRPr="00B453D6" w:rsidRDefault="00B55D19" w:rsidP="005A07A9">
            <w:pPr>
              <w:rPr>
                <w:rFonts w:eastAsia="Century Gothic" w:cs="Times New Roman"/>
                <w:color w:val="4D4F53"/>
              </w:rPr>
            </w:pPr>
            <w:r w:rsidRPr="00B453D6">
              <w:rPr>
                <w:rFonts w:eastAsia="Century Gothic" w:cs="Times New Roman"/>
                <w:color w:val="4D4F53"/>
              </w:rPr>
              <w:t>Provide independent assurance regarding enterprise risk management and internal controls.</w:t>
            </w:r>
          </w:p>
          <w:p w14:paraId="04001AD5" w14:textId="0EAA9587" w:rsidR="00B55D19" w:rsidRPr="00B453D6" w:rsidRDefault="00B55D19" w:rsidP="005A07A9">
            <w:pPr>
              <w:rPr>
                <w:rFonts w:eastAsia="Century Gothic" w:cs="Times New Roman"/>
                <w:color w:val="4D4F53"/>
              </w:rPr>
            </w:pPr>
            <w:r w:rsidRPr="00B453D6">
              <w:rPr>
                <w:rFonts w:eastAsia="Century Gothic" w:cs="Times New Roman"/>
                <w:color w:val="4D4F53"/>
              </w:rPr>
              <w:t>Provide independent verification of compliance with internal and external frameworks or requirements.</w:t>
            </w:r>
          </w:p>
          <w:p w14:paraId="13121428" w14:textId="77777777" w:rsidR="00B55D19" w:rsidRPr="00B453D6" w:rsidRDefault="00B55D19" w:rsidP="005A07A9">
            <w:pPr>
              <w:rPr>
                <w:rFonts w:eastAsia="Century Gothic" w:cs="Times New Roman"/>
                <w:color w:val="4D4F53"/>
              </w:rPr>
            </w:pPr>
            <w:r w:rsidRPr="00B453D6">
              <w:rPr>
                <w:rFonts w:eastAsia="Century Gothic" w:cs="Times New Roman"/>
                <w:color w:val="4D4F53"/>
              </w:rPr>
              <w:t>Independent evaluation of the design, adequacy and effectiveness of the risk management framework, assurance framework and internal control framework.</w:t>
            </w:r>
          </w:p>
        </w:tc>
        <w:tc>
          <w:tcPr>
            <w:tcW w:w="1188" w:type="pct"/>
            <w:vMerge/>
            <w:vAlign w:val="center"/>
            <w:hideMark/>
          </w:tcPr>
          <w:p w14:paraId="379BED8A" w14:textId="77777777" w:rsidR="00B55D19" w:rsidRPr="00B453D6" w:rsidRDefault="00B55D19" w:rsidP="005A07A9">
            <w:pPr>
              <w:rPr>
                <w:rFonts w:eastAsia="Century Gothic" w:cs="Times New Roman"/>
                <w:color w:val="4D4F53"/>
              </w:rPr>
            </w:pPr>
          </w:p>
        </w:tc>
      </w:tr>
    </w:tbl>
    <w:p w14:paraId="5348AF5E" w14:textId="77777777" w:rsidR="005C0B18" w:rsidRPr="005C0B18" w:rsidRDefault="005C0B18" w:rsidP="00EE3B45">
      <w:pPr>
        <w:keepNext/>
        <w:keepLines/>
        <w:spacing w:before="240" w:after="60"/>
        <w:outlineLvl w:val="2"/>
        <w:rPr>
          <w:rFonts w:eastAsia="Times New Roman" w:cs="Times New Roman"/>
          <w:b/>
          <w:color w:val="00A9E0" w:themeColor="accent1"/>
          <w:sz w:val="24"/>
          <w:szCs w:val="24"/>
          <w:lang w:val="en-US"/>
        </w:rPr>
      </w:pPr>
      <w:r w:rsidRPr="005C0B18">
        <w:rPr>
          <w:rFonts w:eastAsia="Times New Roman" w:cs="Times New Roman"/>
          <w:b/>
          <w:color w:val="00A9E0" w:themeColor="accent1"/>
          <w:sz w:val="24"/>
          <w:szCs w:val="24"/>
          <w:lang w:val="en-US"/>
        </w:rPr>
        <w:lastRenderedPageBreak/>
        <w:t>Integrated assurance</w:t>
      </w:r>
    </w:p>
    <w:p w14:paraId="267C7C52" w14:textId="6DD5558D" w:rsidR="005C0B18" w:rsidRPr="00B453D6" w:rsidRDefault="005C0B18" w:rsidP="005C0B18">
      <w:pPr>
        <w:rPr>
          <w:rFonts w:eastAsia="Century Gothic" w:cs="Times New Roman"/>
          <w:color w:val="4D4F53"/>
        </w:rPr>
      </w:pPr>
      <w:r w:rsidRPr="00B453D6">
        <w:rPr>
          <w:rFonts w:eastAsia="Century Gothic" w:cs="Times New Roman"/>
          <w:color w:val="4D4F53"/>
        </w:rPr>
        <w:t xml:space="preserve">Assurance is not a centralised function but is woven throughout and around everything we do at Goodstart. </w:t>
      </w:r>
      <w:r w:rsidR="00FF7E97">
        <w:rPr>
          <w:rFonts w:eastAsia="Century Gothic" w:cs="Times New Roman"/>
          <w:color w:val="4D4F53"/>
        </w:rPr>
        <w:t>It can also be the sole focus for some teams or</w:t>
      </w:r>
      <w:r w:rsidR="00BC36F5">
        <w:rPr>
          <w:rFonts w:eastAsia="Century Gothic" w:cs="Times New Roman"/>
          <w:color w:val="4D4F53"/>
        </w:rPr>
        <w:t xml:space="preserve"> an aspect of other </w:t>
      </w:r>
      <w:r w:rsidR="00263B80">
        <w:rPr>
          <w:rFonts w:eastAsia="Century Gothic" w:cs="Times New Roman"/>
          <w:color w:val="4D4F53"/>
        </w:rPr>
        <w:t>teams’</w:t>
      </w:r>
      <w:r w:rsidR="00BC36F5">
        <w:rPr>
          <w:rFonts w:eastAsia="Century Gothic" w:cs="Times New Roman"/>
          <w:color w:val="4D4F53"/>
        </w:rPr>
        <w:t xml:space="preserve"> </w:t>
      </w:r>
      <w:r w:rsidR="00FC5B8A">
        <w:rPr>
          <w:rFonts w:eastAsia="Century Gothic" w:cs="Times New Roman"/>
          <w:color w:val="4D4F53"/>
        </w:rPr>
        <w:t>responsibilities – whatever makes most sense</w:t>
      </w:r>
      <w:r w:rsidR="00BC36F5">
        <w:rPr>
          <w:rFonts w:eastAsia="Century Gothic" w:cs="Times New Roman"/>
          <w:color w:val="4D4F53"/>
        </w:rPr>
        <w:t xml:space="preserve">. </w:t>
      </w:r>
      <w:r w:rsidRPr="00B453D6">
        <w:rPr>
          <w:rFonts w:eastAsia="Century Gothic" w:cs="Times New Roman"/>
          <w:color w:val="4D4F53"/>
        </w:rPr>
        <w:t>By mapping the assurance provided across the first, second and third lines, we can develop a holistic view of the effectiveness of our risk management activities, and the likelihood that we will achieve our strategic and operational objectives. We can identify areas with adequate assurance as well as any requiring additional assurance and use data analytics to interrogate this assurance.</w:t>
      </w:r>
    </w:p>
    <w:p w14:paraId="10BA2118" w14:textId="77777777" w:rsidR="005C0B18" w:rsidRPr="00B453D6" w:rsidRDefault="005C0B18" w:rsidP="005C0B18">
      <w:pPr>
        <w:spacing w:after="0"/>
        <w:rPr>
          <w:rFonts w:eastAsia="Century Gothic" w:cs="Times New Roman"/>
          <w:color w:val="4D4F53"/>
        </w:rPr>
      </w:pPr>
      <w:r w:rsidRPr="00B453D6">
        <w:rPr>
          <w:rFonts w:eastAsia="Century Gothic" w:cs="Times New Roman"/>
          <w:color w:val="4D4F53"/>
        </w:rPr>
        <w:t>Using integrated assurance helps us to:</w:t>
      </w:r>
    </w:p>
    <w:p w14:paraId="4F945E40" w14:textId="77777777" w:rsidR="005C0B18" w:rsidRPr="003F0C6F" w:rsidRDefault="005C0B18" w:rsidP="00EE3B45">
      <w:pPr>
        <w:numPr>
          <w:ilvl w:val="0"/>
          <w:numId w:val="19"/>
        </w:numPr>
        <w:spacing w:after="0" w:line="276" w:lineRule="auto"/>
        <w:ind w:left="1077" w:hanging="357"/>
        <w:rPr>
          <w:rFonts w:eastAsia="Century Gothic" w:cs="Times New Roman"/>
          <w:color w:val="4D4F53"/>
        </w:rPr>
      </w:pPr>
      <w:r>
        <w:rPr>
          <w:rFonts w:eastAsia="Century Gothic" w:cs="Times New Roman"/>
          <w:color w:val="4D4F53"/>
        </w:rPr>
        <w:t>L</w:t>
      </w:r>
      <w:r w:rsidRPr="003F0C6F">
        <w:rPr>
          <w:rFonts w:eastAsia="Century Gothic" w:cs="Times New Roman"/>
          <w:color w:val="4D4F53"/>
        </w:rPr>
        <w:t>ink assurance to risk materiality to focus on critical controls</w:t>
      </w:r>
      <w:r>
        <w:rPr>
          <w:rFonts w:eastAsia="Century Gothic" w:cs="Times New Roman"/>
          <w:color w:val="4D4F53"/>
        </w:rPr>
        <w:t>.</w:t>
      </w:r>
    </w:p>
    <w:p w14:paraId="09F09080" w14:textId="77777777" w:rsidR="005C0B18" w:rsidRPr="003F0C6F" w:rsidRDefault="005C0B18" w:rsidP="00EE3B45">
      <w:pPr>
        <w:numPr>
          <w:ilvl w:val="0"/>
          <w:numId w:val="19"/>
        </w:numPr>
        <w:spacing w:after="0" w:line="276" w:lineRule="auto"/>
        <w:ind w:left="1077" w:hanging="357"/>
        <w:rPr>
          <w:rFonts w:eastAsia="Century Gothic" w:cs="Times New Roman"/>
          <w:color w:val="4D4F53"/>
        </w:rPr>
      </w:pPr>
      <w:r>
        <w:rPr>
          <w:rFonts w:eastAsia="Century Gothic" w:cs="Times New Roman"/>
          <w:color w:val="4D4F53"/>
        </w:rPr>
        <w:t>R</w:t>
      </w:r>
      <w:r w:rsidRPr="003F0C6F">
        <w:rPr>
          <w:rFonts w:eastAsia="Century Gothic" w:cs="Times New Roman"/>
          <w:color w:val="4D4F53"/>
        </w:rPr>
        <w:t>educe impacts on child-facing services by minimising duplicative assurance</w:t>
      </w:r>
      <w:r>
        <w:rPr>
          <w:rFonts w:eastAsia="Century Gothic" w:cs="Times New Roman"/>
          <w:color w:val="4D4F53"/>
        </w:rPr>
        <w:t>.</w:t>
      </w:r>
    </w:p>
    <w:p w14:paraId="6CE42A68" w14:textId="77777777" w:rsidR="005C0B18" w:rsidRPr="003F0C6F" w:rsidRDefault="005C0B18" w:rsidP="00EE3B45">
      <w:pPr>
        <w:numPr>
          <w:ilvl w:val="0"/>
          <w:numId w:val="19"/>
        </w:numPr>
        <w:spacing w:after="0" w:line="276" w:lineRule="auto"/>
        <w:ind w:left="1077" w:hanging="357"/>
        <w:rPr>
          <w:rFonts w:eastAsia="Century Gothic" w:cs="Times New Roman"/>
          <w:color w:val="4D4F53"/>
        </w:rPr>
      </w:pPr>
      <w:r>
        <w:rPr>
          <w:rFonts w:eastAsia="Century Gothic" w:cs="Times New Roman"/>
          <w:color w:val="4D4F53"/>
        </w:rPr>
        <w:t>I</w:t>
      </w:r>
      <w:r w:rsidRPr="003F0C6F">
        <w:rPr>
          <w:rFonts w:eastAsia="Century Gothic" w:cs="Times New Roman"/>
          <w:color w:val="4D4F53"/>
        </w:rPr>
        <w:t>ncrease Goodstarters trust and confidence in the assurance processes</w:t>
      </w:r>
      <w:r>
        <w:rPr>
          <w:rFonts w:eastAsia="Century Gothic" w:cs="Times New Roman"/>
          <w:color w:val="4D4F53"/>
        </w:rPr>
        <w:t>.</w:t>
      </w:r>
    </w:p>
    <w:p w14:paraId="083BC28F" w14:textId="77777777" w:rsidR="005C0B18" w:rsidRPr="003F0C6F" w:rsidRDefault="005C0B18" w:rsidP="00EE3B45">
      <w:pPr>
        <w:numPr>
          <w:ilvl w:val="0"/>
          <w:numId w:val="19"/>
        </w:numPr>
        <w:spacing w:after="0" w:line="276" w:lineRule="auto"/>
        <w:ind w:left="1077" w:hanging="357"/>
        <w:rPr>
          <w:rFonts w:eastAsia="Century Gothic" w:cs="Times New Roman"/>
          <w:color w:val="4D4F53"/>
        </w:rPr>
      </w:pPr>
      <w:r>
        <w:rPr>
          <w:rFonts w:eastAsia="Century Gothic" w:cs="Times New Roman"/>
          <w:color w:val="4D4F53"/>
        </w:rPr>
        <w:t>L</w:t>
      </w:r>
      <w:r w:rsidRPr="003F0C6F">
        <w:rPr>
          <w:rFonts w:eastAsia="Century Gothic" w:cs="Times New Roman"/>
          <w:color w:val="4D4F53"/>
        </w:rPr>
        <w:t>everage subject matter expertise, automation, and data analytics across Goodstart</w:t>
      </w:r>
      <w:r>
        <w:rPr>
          <w:rFonts w:eastAsia="Century Gothic" w:cs="Times New Roman"/>
          <w:color w:val="4D4F53"/>
        </w:rPr>
        <w:t>.</w:t>
      </w:r>
    </w:p>
    <w:p w14:paraId="77A39547" w14:textId="2BB3037D" w:rsidR="005C0B18" w:rsidRPr="003F0C6F" w:rsidRDefault="005C0B18" w:rsidP="00EE3B45">
      <w:pPr>
        <w:numPr>
          <w:ilvl w:val="0"/>
          <w:numId w:val="19"/>
        </w:numPr>
        <w:spacing w:after="0" w:line="276" w:lineRule="auto"/>
        <w:ind w:left="1077" w:hanging="357"/>
        <w:rPr>
          <w:rFonts w:eastAsia="Century Gothic" w:cs="Times New Roman"/>
          <w:color w:val="4D4F53"/>
        </w:rPr>
      </w:pPr>
      <w:r>
        <w:rPr>
          <w:rFonts w:eastAsia="Century Gothic" w:cs="Times New Roman"/>
          <w:color w:val="4D4F53"/>
        </w:rPr>
        <w:t>I</w:t>
      </w:r>
      <w:r w:rsidRPr="003F0C6F">
        <w:rPr>
          <w:rFonts w:eastAsia="Century Gothic" w:cs="Times New Roman"/>
          <w:color w:val="4D4F53"/>
        </w:rPr>
        <w:t xml:space="preserve">ncrease transparency to key stakeholders including the  </w:t>
      </w:r>
      <w:r w:rsidR="00F966BB">
        <w:rPr>
          <w:rFonts w:eastAsia="Century Gothic" w:cs="Times New Roman"/>
          <w:color w:val="4D4F53"/>
        </w:rPr>
        <w:t xml:space="preserve">SLT </w:t>
      </w:r>
      <w:r w:rsidR="009835E0">
        <w:rPr>
          <w:rFonts w:eastAsia="Century Gothic" w:cs="Times New Roman"/>
          <w:color w:val="4D4F53"/>
        </w:rPr>
        <w:t>RA</w:t>
      </w:r>
      <w:r w:rsidR="00F966BB">
        <w:rPr>
          <w:rFonts w:eastAsia="Century Gothic" w:cs="Times New Roman"/>
          <w:color w:val="4D4F53"/>
        </w:rPr>
        <w:t xml:space="preserve"> Committee, F</w:t>
      </w:r>
      <w:r w:rsidR="009835E0">
        <w:rPr>
          <w:rFonts w:eastAsia="Century Gothic" w:cs="Times New Roman"/>
          <w:color w:val="4D4F53"/>
        </w:rPr>
        <w:t>AR</w:t>
      </w:r>
      <w:r w:rsidR="00F966BB">
        <w:rPr>
          <w:rFonts w:eastAsia="Century Gothic" w:cs="Times New Roman"/>
          <w:color w:val="4D4F53"/>
        </w:rPr>
        <w:t xml:space="preserve"> </w:t>
      </w:r>
      <w:r w:rsidR="000F2CFA">
        <w:rPr>
          <w:rFonts w:eastAsia="Century Gothic" w:cs="Times New Roman"/>
          <w:color w:val="4D4F53"/>
        </w:rPr>
        <w:t>Committee,</w:t>
      </w:r>
      <w:r w:rsidRPr="003F0C6F">
        <w:rPr>
          <w:rFonts w:eastAsia="Century Gothic" w:cs="Times New Roman"/>
          <w:color w:val="4D4F53"/>
        </w:rPr>
        <w:t xml:space="preserve"> and Board</w:t>
      </w:r>
      <w:r>
        <w:rPr>
          <w:rFonts w:eastAsia="Century Gothic" w:cs="Times New Roman"/>
          <w:color w:val="4D4F53"/>
        </w:rPr>
        <w:t>.</w:t>
      </w:r>
    </w:p>
    <w:p w14:paraId="59A2C0DF" w14:textId="77777777" w:rsidR="005C0B18" w:rsidRPr="003F0C6F" w:rsidRDefault="005C0B18" w:rsidP="00EE3B45">
      <w:pPr>
        <w:numPr>
          <w:ilvl w:val="0"/>
          <w:numId w:val="19"/>
        </w:numPr>
        <w:spacing w:after="0" w:line="276" w:lineRule="auto"/>
        <w:ind w:left="1077" w:hanging="357"/>
        <w:rPr>
          <w:rFonts w:eastAsia="Century Gothic" w:cs="Times New Roman"/>
          <w:color w:val="4D4F53"/>
        </w:rPr>
      </w:pPr>
      <w:r>
        <w:rPr>
          <w:rFonts w:eastAsia="Century Gothic" w:cs="Times New Roman"/>
          <w:color w:val="4D4F53"/>
        </w:rPr>
        <w:t>L</w:t>
      </w:r>
      <w:r w:rsidRPr="003F0C6F">
        <w:rPr>
          <w:rFonts w:eastAsia="Century Gothic" w:cs="Times New Roman"/>
          <w:color w:val="4D4F53"/>
        </w:rPr>
        <w:t>everage assurance for continuous improvement.</w:t>
      </w:r>
    </w:p>
    <w:p w14:paraId="5D0A116D" w14:textId="77777777" w:rsidR="005C0B18" w:rsidRPr="005C0B18" w:rsidRDefault="005C0B18" w:rsidP="00EE3B45">
      <w:pPr>
        <w:keepNext/>
        <w:keepLines/>
        <w:spacing w:before="240" w:after="60"/>
        <w:outlineLvl w:val="2"/>
        <w:rPr>
          <w:rFonts w:eastAsia="Times New Roman" w:cs="Times New Roman"/>
          <w:b/>
          <w:color w:val="00A9E0" w:themeColor="accent1"/>
          <w:sz w:val="24"/>
          <w:szCs w:val="24"/>
          <w:lang w:val="en-US"/>
        </w:rPr>
      </w:pPr>
      <w:r w:rsidRPr="005C0B18">
        <w:rPr>
          <w:rFonts w:eastAsia="Times New Roman" w:cs="Times New Roman"/>
          <w:b/>
          <w:color w:val="00A9E0" w:themeColor="accent1"/>
          <w:sz w:val="24"/>
          <w:szCs w:val="24"/>
          <w:lang w:val="en-US"/>
        </w:rPr>
        <w:t>Accountabilities and responsibilities</w:t>
      </w:r>
    </w:p>
    <w:p w14:paraId="664B7696" w14:textId="77777777" w:rsidR="005C0B18" w:rsidRPr="00B453D6" w:rsidRDefault="005C0B18" w:rsidP="005C0B18">
      <w:pPr>
        <w:rPr>
          <w:rFonts w:eastAsia="Century Gothic" w:cs="Times New Roman"/>
          <w:color w:val="4D4F53"/>
        </w:rPr>
      </w:pPr>
      <w:r w:rsidRPr="00B453D6">
        <w:rPr>
          <w:rFonts w:eastAsia="Century Gothic" w:cs="Times New Roman"/>
          <w:color w:val="4D4F53"/>
        </w:rPr>
        <w:t>All Goodstarters have a responsibility to understand the risks in their area and actively manage and monitor these risks as part of day-to-day activities. Additional accountabilities for risk management are assigned to senior staff and specialist areas, and oversight roles are assigned to key governance committees. As such, it is important that all Goodstarters are familiar with our expectations for managing risk and contributing to a positive risk culture.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7280"/>
      </w:tblGrid>
      <w:tr w:rsidR="005C0B18" w:rsidRPr="00563BE4" w14:paraId="2536E0B4" w14:textId="77777777" w:rsidTr="00A910CD">
        <w:tc>
          <w:tcPr>
            <w:tcW w:w="2348" w:type="dxa"/>
            <w:shd w:val="clear" w:color="auto" w:fill="DBDCDD"/>
          </w:tcPr>
          <w:p w14:paraId="78113939" w14:textId="77777777" w:rsidR="005C0B18" w:rsidRPr="00563BE4" w:rsidRDefault="005C0B18" w:rsidP="005A07A9">
            <w:pPr>
              <w:rPr>
                <w:rFonts w:eastAsia="Century Gothic" w:cs="Times New Roman"/>
                <w:color w:val="4D4F53"/>
              </w:rPr>
            </w:pPr>
            <w:r w:rsidRPr="00563BE4">
              <w:rPr>
                <w:rFonts w:eastAsia="Century Gothic" w:cs="Times New Roman"/>
                <w:color w:val="4D4F53"/>
              </w:rPr>
              <w:t>Role</w:t>
            </w:r>
          </w:p>
        </w:tc>
        <w:tc>
          <w:tcPr>
            <w:tcW w:w="7280" w:type="dxa"/>
            <w:shd w:val="clear" w:color="auto" w:fill="DBDCDD"/>
          </w:tcPr>
          <w:p w14:paraId="47CD2CA7" w14:textId="77777777" w:rsidR="005C0B18" w:rsidRPr="00563BE4" w:rsidRDefault="005C0B18" w:rsidP="005A07A9">
            <w:pPr>
              <w:rPr>
                <w:rFonts w:eastAsia="Century Gothic" w:cs="Times New Roman"/>
                <w:color w:val="4D4F53"/>
              </w:rPr>
            </w:pPr>
            <w:r w:rsidRPr="00563BE4">
              <w:rPr>
                <w:rFonts w:eastAsia="Century Gothic" w:cs="Times New Roman"/>
                <w:color w:val="4D4F53"/>
              </w:rPr>
              <w:t>Responsibilities</w:t>
            </w:r>
          </w:p>
        </w:tc>
      </w:tr>
      <w:tr w:rsidR="005C0B18" w:rsidRPr="00563BE4" w14:paraId="0945BF80" w14:textId="77777777" w:rsidTr="00A910CD">
        <w:tc>
          <w:tcPr>
            <w:tcW w:w="2348" w:type="dxa"/>
          </w:tcPr>
          <w:p w14:paraId="455731A8" w14:textId="77777777" w:rsidR="005C0B18" w:rsidRPr="00563BE4" w:rsidRDefault="005C0B18" w:rsidP="005A07A9">
            <w:pPr>
              <w:rPr>
                <w:rFonts w:eastAsia="Century Gothic" w:cs="Times New Roman"/>
                <w:b/>
                <w:bCs/>
                <w:color w:val="4D4F53"/>
              </w:rPr>
            </w:pPr>
            <w:r w:rsidRPr="00563BE4">
              <w:rPr>
                <w:rFonts w:eastAsia="Century Gothic" w:cs="Times New Roman"/>
                <w:b/>
                <w:bCs/>
                <w:color w:val="4D4F53"/>
                <w:lang w:eastAsia="en-AU"/>
              </w:rPr>
              <w:t>Board </w:t>
            </w:r>
          </w:p>
        </w:tc>
        <w:tc>
          <w:tcPr>
            <w:tcW w:w="7280" w:type="dxa"/>
          </w:tcPr>
          <w:p w14:paraId="3B28FF70" w14:textId="0D999A32" w:rsidR="00547675" w:rsidRDefault="005C0B18" w:rsidP="0054767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Approval of the enterprise risks and the risk appetite statements.  Oversight of risk management and assurance at Goodstart including the risk management and assurance framework, financial reporting, internal controls framework, legal and regulatory compliance framework and executive appointment and performance.</w:t>
            </w:r>
          </w:p>
          <w:p w14:paraId="7C5CA57E" w14:textId="6617D3E6" w:rsidR="005C0B18" w:rsidRPr="00563BE4" w:rsidRDefault="005C0B18" w:rsidP="00055EAC">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Provide strategic direction and set the tone for a risk aware culture within Goodstart.</w:t>
            </w:r>
          </w:p>
        </w:tc>
      </w:tr>
      <w:tr w:rsidR="005C0B18" w:rsidRPr="00563BE4" w14:paraId="18A3A205" w14:textId="77777777" w:rsidTr="00A910CD">
        <w:tc>
          <w:tcPr>
            <w:tcW w:w="2348" w:type="dxa"/>
          </w:tcPr>
          <w:p w14:paraId="53D03431" w14:textId="6B1E5B79" w:rsidR="005C0B18" w:rsidRPr="00563BE4" w:rsidRDefault="005C0B18" w:rsidP="005A07A9">
            <w:pPr>
              <w:rPr>
                <w:rFonts w:eastAsia="Century Gothic" w:cs="Times New Roman"/>
                <w:b/>
                <w:bCs/>
                <w:color w:val="4D4F53"/>
              </w:rPr>
            </w:pPr>
            <w:r w:rsidRPr="00563BE4">
              <w:rPr>
                <w:rFonts w:eastAsia="Century Gothic" w:cs="Times New Roman"/>
                <w:b/>
                <w:bCs/>
                <w:color w:val="4D4F53"/>
                <w:lang w:eastAsia="en-AU"/>
              </w:rPr>
              <w:t>Finance, Audit and Risk</w:t>
            </w:r>
            <w:r w:rsidR="00F37863">
              <w:rPr>
                <w:rFonts w:eastAsia="Century Gothic" w:cs="Times New Roman"/>
                <w:b/>
                <w:bCs/>
                <w:color w:val="4D4F53"/>
                <w:lang w:eastAsia="en-AU"/>
              </w:rPr>
              <w:t xml:space="preserve"> </w:t>
            </w:r>
            <w:r w:rsidRPr="00563BE4">
              <w:rPr>
                <w:rFonts w:eastAsia="Century Gothic" w:cs="Times New Roman"/>
                <w:b/>
                <w:bCs/>
                <w:color w:val="4D4F53"/>
                <w:lang w:eastAsia="en-AU"/>
              </w:rPr>
              <w:t>Committee</w:t>
            </w:r>
            <w:r w:rsidR="00F37863">
              <w:rPr>
                <w:rFonts w:eastAsia="Century Gothic" w:cs="Times New Roman"/>
                <w:b/>
                <w:bCs/>
                <w:color w:val="4D4F53"/>
                <w:lang w:eastAsia="en-AU"/>
              </w:rPr>
              <w:t xml:space="preserve"> </w:t>
            </w:r>
            <w:r w:rsidRPr="00563BE4">
              <w:rPr>
                <w:rFonts w:eastAsia="Century Gothic" w:cs="Times New Roman"/>
                <w:b/>
                <w:bCs/>
                <w:color w:val="4D4F53"/>
              </w:rPr>
              <w:t>(FAR Committee)</w:t>
            </w:r>
          </w:p>
        </w:tc>
        <w:tc>
          <w:tcPr>
            <w:tcW w:w="7280" w:type="dxa"/>
          </w:tcPr>
          <w:p w14:paraId="756F1975" w14:textId="77777777" w:rsidR="005C0B18" w:rsidRPr="00563BE4" w:rsidRDefault="005C0B18"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Monitors and advises the Board on the development and design of risk management and assurance frameworks and policies, including risk appetite statements. </w:t>
            </w:r>
          </w:p>
          <w:p w14:paraId="42309FA8" w14:textId="77777777" w:rsidR="005C0B18" w:rsidRPr="00563BE4" w:rsidRDefault="005C0B18"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Advise the Board on the adequacy of assurance over risks and controls through the work of internal and external audit and internal assurance mechanisms. </w:t>
            </w:r>
          </w:p>
          <w:p w14:paraId="5E69B723" w14:textId="77777777" w:rsidR="005C0B18" w:rsidRPr="00563BE4" w:rsidRDefault="005C0B18"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Have oversight of risk appetite statements and risk tolerance appropriate to Goodstart business lines.</w:t>
            </w:r>
          </w:p>
        </w:tc>
      </w:tr>
      <w:tr w:rsidR="000A2879" w:rsidRPr="00563BE4" w14:paraId="06BCEE86" w14:textId="77777777" w:rsidTr="00A910CD">
        <w:tc>
          <w:tcPr>
            <w:tcW w:w="2348" w:type="dxa"/>
          </w:tcPr>
          <w:p w14:paraId="4F9BF0DE" w14:textId="38F806BB" w:rsidR="000A2879" w:rsidRPr="00563BE4" w:rsidRDefault="007F5C6C" w:rsidP="005A07A9">
            <w:pPr>
              <w:rPr>
                <w:rFonts w:eastAsia="Century Gothic" w:cs="Times New Roman"/>
                <w:b/>
                <w:bCs/>
                <w:color w:val="4D4F53"/>
                <w:lang w:eastAsia="en-AU"/>
              </w:rPr>
            </w:pPr>
            <w:r>
              <w:rPr>
                <w:rFonts w:eastAsia="Century Gothic" w:cs="Times New Roman"/>
                <w:b/>
                <w:bCs/>
                <w:color w:val="4D4F53"/>
                <w:lang w:eastAsia="en-AU"/>
              </w:rPr>
              <w:t xml:space="preserve">SLT </w:t>
            </w:r>
            <w:r w:rsidR="000A2879" w:rsidRPr="00563BE4">
              <w:rPr>
                <w:rFonts w:eastAsia="Century Gothic" w:cs="Times New Roman"/>
                <w:b/>
                <w:bCs/>
                <w:color w:val="4D4F53"/>
                <w:lang w:eastAsia="en-AU"/>
              </w:rPr>
              <w:t>Risk and Assurance Committee</w:t>
            </w:r>
            <w:r w:rsidR="00FE43B8">
              <w:rPr>
                <w:rFonts w:eastAsia="Century Gothic" w:cs="Times New Roman"/>
                <w:b/>
                <w:bCs/>
                <w:color w:val="4D4F53"/>
                <w:lang w:eastAsia="en-AU"/>
              </w:rPr>
              <w:t xml:space="preserve"> (SLT RA Committee)</w:t>
            </w:r>
          </w:p>
        </w:tc>
        <w:tc>
          <w:tcPr>
            <w:tcW w:w="7280" w:type="dxa"/>
          </w:tcPr>
          <w:p w14:paraId="79AEE0A0" w14:textId="4D768094" w:rsidR="007649AB" w:rsidRDefault="00FF3F5C" w:rsidP="00055EAC">
            <w:pPr>
              <w:pStyle w:val="ListParagraph"/>
              <w:numPr>
                <w:ilvl w:val="0"/>
                <w:numId w:val="27"/>
              </w:numPr>
            </w:pPr>
            <w:r w:rsidRPr="00FF3F5C">
              <w:t xml:space="preserve">Guide the advancement of risk management maturity and improve Goodstart’s </w:t>
            </w:r>
            <w:r w:rsidR="00076C79">
              <w:t>risk and assurance</w:t>
            </w:r>
            <w:r w:rsidRPr="00FF3F5C">
              <w:t xml:space="preserve"> framework.</w:t>
            </w:r>
          </w:p>
          <w:p w14:paraId="39EBB935" w14:textId="77777777" w:rsidR="00CB00F5" w:rsidRDefault="007649AB" w:rsidP="00CB00F5">
            <w:pPr>
              <w:pStyle w:val="ListParagraph"/>
              <w:numPr>
                <w:ilvl w:val="0"/>
                <w:numId w:val="27"/>
              </w:numPr>
            </w:pPr>
            <w:r>
              <w:t>Ensure that t</w:t>
            </w:r>
            <w:r w:rsidR="00FF3F5C" w:rsidRPr="00FF3F5C">
              <w:t xml:space="preserve">he risk appetite, risk and obligation ownership </w:t>
            </w:r>
            <w:r w:rsidR="00CB00F5">
              <w:t>a</w:t>
            </w:r>
            <w:r w:rsidR="00FF3F5C" w:rsidRPr="00FF3F5C">
              <w:t>nd prioritisation of key risks and obligations</w:t>
            </w:r>
            <w:r w:rsidR="00CB00F5">
              <w:t xml:space="preserve"> serve the best interests of the organisation. </w:t>
            </w:r>
          </w:p>
          <w:p w14:paraId="270289AC" w14:textId="766B0680" w:rsidR="00CB00F5" w:rsidRDefault="00076C79" w:rsidP="00CB00F5">
            <w:pPr>
              <w:pStyle w:val="ListParagraph"/>
              <w:numPr>
                <w:ilvl w:val="0"/>
                <w:numId w:val="27"/>
              </w:numPr>
            </w:pPr>
            <w:r>
              <w:t>Support and facilitate the p</w:t>
            </w:r>
            <w:r w:rsidR="00FF3F5C" w:rsidRPr="00FF3F5C">
              <w:t>rogress</w:t>
            </w:r>
            <w:r>
              <w:t xml:space="preserve"> of</w:t>
            </w:r>
            <w:r w:rsidR="00FF3F5C" w:rsidRPr="00FF3F5C">
              <w:t xml:space="preserve"> addressing key risks, trends in Key Risk Indicators, assurance activity outcomes, major incidents and </w:t>
            </w:r>
            <w:r w:rsidR="00FF3F5C" w:rsidRPr="00FF3F5C">
              <w:lastRenderedPageBreak/>
              <w:t>breaches, organisational resilience, internal audit progress, and relevant risk data for decision-making.</w:t>
            </w:r>
          </w:p>
          <w:p w14:paraId="16D99C6C" w14:textId="77777777" w:rsidR="000A2879" w:rsidRDefault="00CB00F5">
            <w:pPr>
              <w:pStyle w:val="ListParagraph"/>
              <w:numPr>
                <w:ilvl w:val="0"/>
                <w:numId w:val="27"/>
              </w:numPr>
            </w:pPr>
            <w:r>
              <w:t>Support the development of t</w:t>
            </w:r>
            <w:r w:rsidR="00FF3F5C" w:rsidRPr="00FF3F5C">
              <w:t xml:space="preserve">he Risk and Assurance Strategy, Policy, </w:t>
            </w:r>
            <w:r>
              <w:t>and other framework</w:t>
            </w:r>
            <w:r w:rsidR="00076C79">
              <w:t xml:space="preserve"> components to manage risk and assure outcomes for Goodstart.</w:t>
            </w:r>
          </w:p>
          <w:p w14:paraId="2C745A67" w14:textId="13B56954" w:rsidR="002331DF" w:rsidRPr="00FF3F5C" w:rsidRDefault="002331DF" w:rsidP="00055EAC">
            <w:pPr>
              <w:pStyle w:val="ListParagraph"/>
              <w:numPr>
                <w:ilvl w:val="0"/>
                <w:numId w:val="27"/>
              </w:numPr>
            </w:pPr>
            <w:r w:rsidRPr="002331DF">
              <w:t>Provide regular reporting on risk and assurance to the FAR Committee and the Board.</w:t>
            </w:r>
          </w:p>
        </w:tc>
      </w:tr>
      <w:tr w:rsidR="00A910CD" w:rsidRPr="00563BE4" w14:paraId="636B8678" w14:textId="77777777" w:rsidTr="00A910CD">
        <w:tc>
          <w:tcPr>
            <w:tcW w:w="2348" w:type="dxa"/>
            <w:tcBorders>
              <w:top w:val="single" w:sz="4" w:space="0" w:color="auto"/>
              <w:left w:val="single" w:sz="4" w:space="0" w:color="auto"/>
              <w:bottom w:val="single" w:sz="4" w:space="0" w:color="auto"/>
              <w:right w:val="single" w:sz="4" w:space="0" w:color="auto"/>
            </w:tcBorders>
          </w:tcPr>
          <w:p w14:paraId="0CD7753B" w14:textId="06A817FD" w:rsidR="00A910CD" w:rsidRPr="00563BE4" w:rsidRDefault="00E81F60" w:rsidP="005A07A9">
            <w:pPr>
              <w:rPr>
                <w:rFonts w:eastAsia="Century Gothic" w:cs="Times New Roman"/>
                <w:b/>
                <w:bCs/>
                <w:color w:val="4D4F53"/>
                <w:lang w:eastAsia="en-AU"/>
              </w:rPr>
            </w:pPr>
            <w:r>
              <w:rPr>
                <w:rFonts w:eastAsia="Century Gothic" w:cs="Times New Roman"/>
                <w:b/>
                <w:bCs/>
                <w:color w:val="4D4F53"/>
                <w:lang w:eastAsia="en-AU"/>
              </w:rPr>
              <w:lastRenderedPageBreak/>
              <w:t>Senior</w:t>
            </w:r>
            <w:r w:rsidR="00A910CD" w:rsidRPr="00563BE4">
              <w:rPr>
                <w:rFonts w:eastAsia="Century Gothic" w:cs="Times New Roman"/>
                <w:b/>
                <w:bCs/>
                <w:color w:val="4D4F53"/>
                <w:lang w:eastAsia="en-AU"/>
              </w:rPr>
              <w:t xml:space="preserve"> Leadership Team (GLT) </w:t>
            </w:r>
          </w:p>
        </w:tc>
        <w:tc>
          <w:tcPr>
            <w:tcW w:w="7280" w:type="dxa"/>
            <w:tcBorders>
              <w:top w:val="single" w:sz="4" w:space="0" w:color="auto"/>
              <w:left w:val="single" w:sz="4" w:space="0" w:color="auto"/>
              <w:bottom w:val="single" w:sz="4" w:space="0" w:color="auto"/>
              <w:right w:val="single" w:sz="4" w:space="0" w:color="auto"/>
            </w:tcBorders>
          </w:tcPr>
          <w:p w14:paraId="40B91487" w14:textId="79ACEF1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Implementation of this policy.</w:t>
            </w:r>
          </w:p>
          <w:p w14:paraId="17554C72" w14:textId="7A5D4FAB"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Develop and maintaining risk profiles.</w:t>
            </w:r>
          </w:p>
          <w:p w14:paraId="3E627D3E" w14:textId="1D435436"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Provid</w:t>
            </w:r>
            <w:r w:rsidR="009D558A">
              <w:rPr>
                <w:rFonts w:eastAsia="Century Gothic" w:cs="Times New Roman"/>
                <w:color w:val="4D4F53"/>
              </w:rPr>
              <w:t>e</w:t>
            </w:r>
            <w:r w:rsidRPr="00563BE4">
              <w:rPr>
                <w:rFonts w:eastAsia="Century Gothic" w:cs="Times New Roman"/>
                <w:color w:val="4D4F53"/>
              </w:rPr>
              <w:t xml:space="preserve"> regular reporting on risk and assurance to the </w:t>
            </w:r>
            <w:r w:rsidR="002331DF">
              <w:rPr>
                <w:rFonts w:eastAsia="Century Gothic" w:cs="Times New Roman"/>
                <w:color w:val="4D4F53"/>
              </w:rPr>
              <w:t>SLT</w:t>
            </w:r>
            <w:r w:rsidR="00E81F60">
              <w:rPr>
                <w:rFonts w:eastAsia="Century Gothic" w:cs="Times New Roman"/>
                <w:color w:val="4D4F53"/>
              </w:rPr>
              <w:t xml:space="preserve"> R</w:t>
            </w:r>
            <w:r w:rsidR="00FE43B8">
              <w:rPr>
                <w:rFonts w:eastAsia="Century Gothic" w:cs="Times New Roman"/>
                <w:color w:val="4D4F53"/>
              </w:rPr>
              <w:t>A</w:t>
            </w:r>
            <w:r w:rsidR="00E81F60">
              <w:rPr>
                <w:rFonts w:eastAsia="Century Gothic" w:cs="Times New Roman"/>
                <w:color w:val="4D4F53"/>
              </w:rPr>
              <w:t xml:space="preserve"> Committee</w:t>
            </w:r>
            <w:r w:rsidRPr="00563BE4">
              <w:rPr>
                <w:rFonts w:eastAsia="Century Gothic" w:cs="Times New Roman"/>
                <w:color w:val="4D4F53"/>
              </w:rPr>
              <w:t>.</w:t>
            </w:r>
          </w:p>
        </w:tc>
      </w:tr>
      <w:tr w:rsidR="00A910CD" w:rsidRPr="00563BE4" w14:paraId="7DF1D3C2" w14:textId="77777777" w:rsidTr="00A910CD">
        <w:tc>
          <w:tcPr>
            <w:tcW w:w="2348" w:type="dxa"/>
            <w:tcBorders>
              <w:top w:val="single" w:sz="4" w:space="0" w:color="auto"/>
              <w:left w:val="single" w:sz="4" w:space="0" w:color="auto"/>
              <w:bottom w:val="single" w:sz="4" w:space="0" w:color="auto"/>
              <w:right w:val="single" w:sz="4" w:space="0" w:color="auto"/>
            </w:tcBorders>
          </w:tcPr>
          <w:p w14:paraId="2F12865B" w14:textId="77777777"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t>Chief Executive Officer (CEO)</w:t>
            </w:r>
          </w:p>
        </w:tc>
        <w:tc>
          <w:tcPr>
            <w:tcW w:w="7280" w:type="dxa"/>
            <w:tcBorders>
              <w:top w:val="single" w:sz="4" w:space="0" w:color="auto"/>
              <w:left w:val="single" w:sz="4" w:space="0" w:color="auto"/>
              <w:bottom w:val="single" w:sz="4" w:space="0" w:color="auto"/>
              <w:right w:val="single" w:sz="4" w:space="0" w:color="auto"/>
            </w:tcBorders>
          </w:tcPr>
          <w:p w14:paraId="204B108F" w14:textId="3B024E6B" w:rsidR="00A910CD" w:rsidRDefault="00CF0375"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R</w:t>
            </w:r>
            <w:r w:rsidR="00A910CD" w:rsidRPr="00563BE4">
              <w:rPr>
                <w:rFonts w:eastAsia="Century Gothic" w:cs="Times New Roman"/>
                <w:color w:val="4D4F53"/>
              </w:rPr>
              <w:t>esponsible for facilitating an environment that actively supports risk management and assurance</w:t>
            </w:r>
            <w:r w:rsidR="00100301">
              <w:rPr>
                <w:rFonts w:eastAsia="Century Gothic" w:cs="Times New Roman"/>
                <w:color w:val="4D4F53"/>
              </w:rPr>
              <w:t xml:space="preserve"> objectives</w:t>
            </w:r>
            <w:r w:rsidR="00A910CD" w:rsidRPr="00563BE4">
              <w:rPr>
                <w:rFonts w:eastAsia="Century Gothic" w:cs="Times New Roman"/>
                <w:color w:val="4D4F53"/>
              </w:rPr>
              <w:t>.</w:t>
            </w:r>
          </w:p>
          <w:p w14:paraId="25BE0CFD" w14:textId="77777777" w:rsidR="0056743E" w:rsidRDefault="0063795D"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En</w:t>
            </w:r>
            <w:r w:rsidR="001246AF">
              <w:rPr>
                <w:rFonts w:eastAsia="Century Gothic" w:cs="Times New Roman"/>
                <w:color w:val="4D4F53"/>
              </w:rPr>
              <w:t xml:space="preserve">sures that risk and assurance activities are aligned with the strategic direction of the </w:t>
            </w:r>
            <w:r>
              <w:rPr>
                <w:rFonts w:eastAsia="Century Gothic" w:cs="Times New Roman"/>
                <w:color w:val="4D4F53"/>
              </w:rPr>
              <w:t>organisation.</w:t>
            </w:r>
          </w:p>
          <w:p w14:paraId="4776B516" w14:textId="77777777" w:rsidR="00861BCD" w:rsidRDefault="002B07B6"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 xml:space="preserve">Responsible for </w:t>
            </w:r>
            <w:r w:rsidR="00936B34">
              <w:rPr>
                <w:rFonts w:eastAsia="Century Gothic" w:cs="Times New Roman"/>
                <w:color w:val="4D4F53"/>
              </w:rPr>
              <w:t>timely communication of risk and assurance information to the Board</w:t>
            </w:r>
            <w:r w:rsidR="00056072">
              <w:rPr>
                <w:rFonts w:eastAsia="Century Gothic" w:cs="Times New Roman"/>
                <w:color w:val="4D4F53"/>
              </w:rPr>
              <w:t xml:space="preserve"> and sub-committees.</w:t>
            </w:r>
          </w:p>
          <w:p w14:paraId="74B925F3" w14:textId="7A133EC3" w:rsidR="00B44586" w:rsidRPr="00563BE4" w:rsidRDefault="00B44586"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 xml:space="preserve">The CEO, in </w:t>
            </w:r>
            <w:r w:rsidR="00984B48">
              <w:rPr>
                <w:rFonts w:eastAsia="Century Gothic" w:cs="Times New Roman"/>
                <w:color w:val="4D4F53"/>
              </w:rPr>
              <w:t>collaboration with the Board</w:t>
            </w:r>
            <w:r w:rsidR="00D35F33">
              <w:rPr>
                <w:rFonts w:eastAsia="Century Gothic" w:cs="Times New Roman"/>
                <w:color w:val="4D4F53"/>
              </w:rPr>
              <w:t xml:space="preserve">, defines Goodstart’s risk appetite and </w:t>
            </w:r>
            <w:r w:rsidR="00042E30">
              <w:rPr>
                <w:rFonts w:eastAsia="Century Gothic" w:cs="Times New Roman"/>
                <w:color w:val="4D4F53"/>
              </w:rPr>
              <w:t>tolerance levels.</w:t>
            </w:r>
          </w:p>
        </w:tc>
      </w:tr>
      <w:tr w:rsidR="00A910CD" w:rsidRPr="00563BE4" w14:paraId="5719D352" w14:textId="77777777" w:rsidTr="00A910CD">
        <w:tc>
          <w:tcPr>
            <w:tcW w:w="2348" w:type="dxa"/>
            <w:tcBorders>
              <w:top w:val="single" w:sz="4" w:space="0" w:color="auto"/>
              <w:left w:val="single" w:sz="4" w:space="0" w:color="auto"/>
              <w:bottom w:val="single" w:sz="4" w:space="0" w:color="auto"/>
              <w:right w:val="single" w:sz="4" w:space="0" w:color="auto"/>
            </w:tcBorders>
          </w:tcPr>
          <w:p w14:paraId="4155BCAD" w14:textId="77777777"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t>Chief Financial Officer (CFO)</w:t>
            </w:r>
          </w:p>
        </w:tc>
        <w:tc>
          <w:tcPr>
            <w:tcW w:w="7280" w:type="dxa"/>
            <w:tcBorders>
              <w:top w:val="single" w:sz="4" w:space="0" w:color="auto"/>
              <w:left w:val="single" w:sz="4" w:space="0" w:color="auto"/>
              <w:bottom w:val="single" w:sz="4" w:space="0" w:color="auto"/>
              <w:right w:val="single" w:sz="4" w:space="0" w:color="auto"/>
            </w:tcBorders>
          </w:tcPr>
          <w:p w14:paraId="113414CA" w14:textId="62873E8E"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Establish and maintain adequate risk management and mitigation strategies to manage Goodstart’s enterprise risks. </w:t>
            </w:r>
          </w:p>
          <w:p w14:paraId="5E33DEB7" w14:textId="7F4F5402"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Accountable for the enterprise risk register, quarterly risk and assurance reporting and the Goodstart assurance map.</w:t>
            </w:r>
          </w:p>
          <w:p w14:paraId="11D5D7F5" w14:textId="2156C9F6" w:rsidR="00A910CD"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Endorse appropriate policies and procedures relating to Goodstart-wide risk management and assurance.</w:t>
            </w:r>
          </w:p>
          <w:p w14:paraId="06F3EEB9" w14:textId="0ED5BF60" w:rsidR="00131480" w:rsidRPr="00563BE4" w:rsidRDefault="00131480"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Supports CEO</w:t>
            </w:r>
            <w:r w:rsidR="00B32248">
              <w:rPr>
                <w:rFonts w:eastAsia="Century Gothic" w:cs="Times New Roman"/>
                <w:color w:val="4D4F53"/>
              </w:rPr>
              <w:t xml:space="preserve"> in their responsibilities.</w:t>
            </w:r>
          </w:p>
        </w:tc>
      </w:tr>
      <w:tr w:rsidR="00A910CD" w:rsidRPr="00563BE4" w14:paraId="7BD7F2DF" w14:textId="77777777" w:rsidTr="00A910CD">
        <w:tc>
          <w:tcPr>
            <w:tcW w:w="2348" w:type="dxa"/>
            <w:tcBorders>
              <w:top w:val="single" w:sz="4" w:space="0" w:color="auto"/>
              <w:left w:val="single" w:sz="4" w:space="0" w:color="auto"/>
              <w:bottom w:val="single" w:sz="4" w:space="0" w:color="auto"/>
              <w:right w:val="single" w:sz="4" w:space="0" w:color="auto"/>
            </w:tcBorders>
          </w:tcPr>
          <w:p w14:paraId="14CCDFC3" w14:textId="77777777"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t xml:space="preserve">Head of Risk and Assurance </w:t>
            </w:r>
          </w:p>
          <w:p w14:paraId="12B0EFB1" w14:textId="77777777" w:rsidR="00A910CD" w:rsidRPr="00563BE4" w:rsidRDefault="00A910CD" w:rsidP="005A07A9">
            <w:pPr>
              <w:rPr>
                <w:rFonts w:eastAsia="Century Gothic" w:cs="Times New Roman"/>
                <w:b/>
                <w:bCs/>
                <w:color w:val="4D4F53"/>
                <w:lang w:eastAsia="en-AU"/>
              </w:rPr>
            </w:pPr>
          </w:p>
        </w:tc>
        <w:tc>
          <w:tcPr>
            <w:tcW w:w="7280" w:type="dxa"/>
            <w:tcBorders>
              <w:top w:val="single" w:sz="4" w:space="0" w:color="auto"/>
              <w:left w:val="single" w:sz="4" w:space="0" w:color="auto"/>
              <w:bottom w:val="single" w:sz="4" w:space="0" w:color="auto"/>
              <w:right w:val="single" w:sz="4" w:space="0" w:color="auto"/>
            </w:tcBorders>
          </w:tcPr>
          <w:p w14:paraId="28E82774" w14:textId="198EB850"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Provide specialist risk management and assurance advice and assistance to the Chief Financial Officer</w:t>
            </w:r>
            <w:r w:rsidR="00B32248">
              <w:rPr>
                <w:rFonts w:eastAsia="Century Gothic" w:cs="Times New Roman"/>
                <w:color w:val="4D4F53"/>
              </w:rPr>
              <w:t>, SLT</w:t>
            </w:r>
            <w:r w:rsidR="009E4D47">
              <w:rPr>
                <w:rFonts w:eastAsia="Century Gothic" w:cs="Times New Roman"/>
                <w:color w:val="4D4F53"/>
              </w:rPr>
              <w:t>,</w:t>
            </w:r>
            <w:r w:rsidRPr="00563BE4">
              <w:rPr>
                <w:rFonts w:eastAsia="Century Gothic" w:cs="Times New Roman"/>
                <w:color w:val="4D4F53"/>
              </w:rPr>
              <w:t xml:space="preserve"> GLT</w:t>
            </w:r>
            <w:r w:rsidR="009E4D47">
              <w:rPr>
                <w:rFonts w:eastAsia="Century Gothic" w:cs="Times New Roman"/>
                <w:color w:val="4D4F53"/>
              </w:rPr>
              <w:t xml:space="preserve"> and CEO</w:t>
            </w:r>
            <w:r w:rsidRPr="00563BE4">
              <w:rPr>
                <w:rFonts w:eastAsia="Century Gothic" w:cs="Times New Roman"/>
                <w:color w:val="4D4F53"/>
              </w:rPr>
              <w:t xml:space="preserve">. </w:t>
            </w:r>
          </w:p>
          <w:p w14:paraId="497755E9" w14:textId="20245BA0" w:rsidR="005F0B20" w:rsidRPr="00055EAC" w:rsidRDefault="005F0B20" w:rsidP="005F0B20">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Guide the </w:t>
            </w:r>
            <w:r w:rsidR="00E81F60">
              <w:rPr>
                <w:rFonts w:eastAsia="Century Gothic" w:cs="Times New Roman"/>
                <w:color w:val="4D4F53"/>
              </w:rPr>
              <w:t>S</w:t>
            </w:r>
            <w:r w:rsidRPr="00563BE4">
              <w:rPr>
                <w:rFonts w:eastAsia="Century Gothic" w:cs="Times New Roman"/>
                <w:color w:val="4D4F53"/>
              </w:rPr>
              <w:t xml:space="preserve">LT in following the requirements of this policy. </w:t>
            </w:r>
          </w:p>
          <w:p w14:paraId="6D3E51EC" w14:textId="0B049290"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Direct responsibility for maintaining the enterprise risk register, Goodstart Assurance Map and preparing quarterly risk and assurance reports. </w:t>
            </w:r>
          </w:p>
          <w:p w14:paraId="0AD9C133"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Design and implement risk management infrastructure for identifying and reporting Goodstart-wide risks and risk-management deficiencies, including emerging risks. </w:t>
            </w:r>
          </w:p>
          <w:p w14:paraId="5ED57BBF"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Monitor compliance with Goodstart’s risk management and assurance processes and systems. </w:t>
            </w:r>
          </w:p>
          <w:p w14:paraId="3EF92D65"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Direct effective and timely implementation of corrective actions to address risk management deficiencies. </w:t>
            </w:r>
          </w:p>
          <w:p w14:paraId="784F61D1"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Specify management and employees’ authority and independence to carry out risk management and assurance responsibilities. </w:t>
            </w:r>
          </w:p>
          <w:p w14:paraId="18687EDF"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Establish and communicate Goodstart's enterprise risk management and assurance policies and procedures. </w:t>
            </w:r>
          </w:p>
        </w:tc>
      </w:tr>
      <w:tr w:rsidR="00A910CD" w:rsidRPr="00563BE4" w14:paraId="5B50B4D8" w14:textId="77777777" w:rsidTr="00A910CD">
        <w:tc>
          <w:tcPr>
            <w:tcW w:w="2348" w:type="dxa"/>
            <w:tcBorders>
              <w:top w:val="single" w:sz="4" w:space="0" w:color="auto"/>
              <w:left w:val="single" w:sz="4" w:space="0" w:color="auto"/>
              <w:bottom w:val="single" w:sz="4" w:space="0" w:color="auto"/>
              <w:right w:val="single" w:sz="4" w:space="0" w:color="auto"/>
            </w:tcBorders>
          </w:tcPr>
          <w:p w14:paraId="268D4841" w14:textId="134195A7"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lastRenderedPageBreak/>
              <w:t>Internal specialists and advisors</w:t>
            </w:r>
          </w:p>
          <w:p w14:paraId="1519A72E" w14:textId="3AEB2F43"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t xml:space="preserve">For </w:t>
            </w:r>
            <w:r w:rsidR="00055EAC" w:rsidRPr="00563BE4">
              <w:rPr>
                <w:rFonts w:eastAsia="Century Gothic" w:cs="Times New Roman"/>
                <w:b/>
                <w:bCs/>
                <w:color w:val="4D4F53"/>
                <w:lang w:eastAsia="en-AU"/>
              </w:rPr>
              <w:t>example,</w:t>
            </w:r>
            <w:r w:rsidRPr="00563BE4">
              <w:rPr>
                <w:rFonts w:eastAsia="Century Gothic" w:cs="Times New Roman"/>
                <w:b/>
                <w:bCs/>
                <w:color w:val="4D4F53"/>
                <w:lang w:eastAsia="en-AU"/>
              </w:rPr>
              <w:t xml:space="preserve"> Legal, Safety, Quality, Property etc.</w:t>
            </w:r>
          </w:p>
        </w:tc>
        <w:tc>
          <w:tcPr>
            <w:tcW w:w="7280" w:type="dxa"/>
            <w:tcBorders>
              <w:top w:val="single" w:sz="4" w:space="0" w:color="auto"/>
              <w:left w:val="single" w:sz="4" w:space="0" w:color="auto"/>
              <w:bottom w:val="single" w:sz="4" w:space="0" w:color="auto"/>
              <w:right w:val="single" w:sz="4" w:space="0" w:color="auto"/>
            </w:tcBorders>
          </w:tcPr>
          <w:p w14:paraId="142F40B8"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Undertake specialist risk management activities in accordance with the Risk Management REQUIREMENT and specialist requirements and procedures.</w:t>
            </w:r>
          </w:p>
          <w:p w14:paraId="73D27E60"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Support the development of organisation-wide control and assurance processes.</w:t>
            </w:r>
          </w:p>
          <w:p w14:paraId="6D47172B"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Support Goodstarters to undertake and implement operational risk management and assurance activities.</w:t>
            </w:r>
          </w:p>
        </w:tc>
      </w:tr>
      <w:tr w:rsidR="00A910CD" w:rsidRPr="00563BE4" w14:paraId="35D38616" w14:textId="77777777" w:rsidTr="00A910CD">
        <w:tc>
          <w:tcPr>
            <w:tcW w:w="2348" w:type="dxa"/>
            <w:tcBorders>
              <w:top w:val="single" w:sz="4" w:space="0" w:color="auto"/>
              <w:left w:val="single" w:sz="4" w:space="0" w:color="auto"/>
              <w:bottom w:val="single" w:sz="4" w:space="0" w:color="auto"/>
              <w:right w:val="single" w:sz="4" w:space="0" w:color="auto"/>
            </w:tcBorders>
          </w:tcPr>
          <w:p w14:paraId="4236B5C9" w14:textId="77777777"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t>Centre Directors, centre and State Support teams</w:t>
            </w:r>
          </w:p>
        </w:tc>
        <w:tc>
          <w:tcPr>
            <w:tcW w:w="7280" w:type="dxa"/>
            <w:tcBorders>
              <w:top w:val="single" w:sz="4" w:space="0" w:color="auto"/>
              <w:left w:val="single" w:sz="4" w:space="0" w:color="auto"/>
              <w:bottom w:val="single" w:sz="4" w:space="0" w:color="auto"/>
              <w:right w:val="single" w:sz="4" w:space="0" w:color="auto"/>
            </w:tcBorders>
          </w:tcPr>
          <w:p w14:paraId="47E8A866" w14:textId="77777777" w:rsidR="00A910CD" w:rsidRPr="00563BE4"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Identifying and managing risks within their centre including any related assurance activities.</w:t>
            </w:r>
          </w:p>
          <w:p w14:paraId="3BCCB82B" w14:textId="5616F12C" w:rsidR="00A910CD"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 xml:space="preserve">Promoting a risk-aware culture amongst </w:t>
            </w:r>
            <w:r w:rsidR="007615E2">
              <w:rPr>
                <w:rFonts w:eastAsia="Century Gothic" w:cs="Times New Roman"/>
                <w:color w:val="4D4F53"/>
              </w:rPr>
              <w:t>all employees</w:t>
            </w:r>
            <w:r w:rsidRPr="00563BE4">
              <w:rPr>
                <w:rFonts w:eastAsia="Century Gothic" w:cs="Times New Roman"/>
                <w:color w:val="4D4F53"/>
              </w:rPr>
              <w:t>.</w:t>
            </w:r>
          </w:p>
          <w:p w14:paraId="3E8E710E" w14:textId="77777777" w:rsidR="00424846" w:rsidRDefault="007615E2" w:rsidP="00424846">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 xml:space="preserve">Adopting and utilising available tools and processes to better </w:t>
            </w:r>
            <w:r w:rsidR="00424846">
              <w:rPr>
                <w:rFonts w:eastAsia="Century Gothic" w:cs="Times New Roman"/>
                <w:color w:val="4D4F53"/>
              </w:rPr>
              <w:t>identify and manage risks.</w:t>
            </w:r>
          </w:p>
          <w:p w14:paraId="43913CBA" w14:textId="3C4401C1" w:rsidR="00424846" w:rsidRPr="00055EAC" w:rsidRDefault="00424846" w:rsidP="00424846">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Reporting all incidents and breaches</w:t>
            </w:r>
            <w:r w:rsidR="004A75AF">
              <w:rPr>
                <w:rFonts w:eastAsia="Century Gothic" w:cs="Times New Roman"/>
                <w:color w:val="4D4F53"/>
              </w:rPr>
              <w:t xml:space="preserve"> within required timeframes.</w:t>
            </w:r>
          </w:p>
        </w:tc>
      </w:tr>
      <w:tr w:rsidR="00A910CD" w:rsidRPr="00B453D6" w14:paraId="6A1DED5E" w14:textId="77777777" w:rsidTr="00A910CD">
        <w:tc>
          <w:tcPr>
            <w:tcW w:w="2348" w:type="dxa"/>
            <w:tcBorders>
              <w:top w:val="single" w:sz="4" w:space="0" w:color="auto"/>
              <w:left w:val="single" w:sz="4" w:space="0" w:color="auto"/>
              <w:bottom w:val="single" w:sz="4" w:space="0" w:color="auto"/>
              <w:right w:val="single" w:sz="4" w:space="0" w:color="auto"/>
            </w:tcBorders>
          </w:tcPr>
          <w:p w14:paraId="0ECBBDA8" w14:textId="492F0617" w:rsidR="00A910CD" w:rsidRPr="00563BE4" w:rsidRDefault="00A910CD" w:rsidP="005A07A9">
            <w:pPr>
              <w:rPr>
                <w:rFonts w:eastAsia="Century Gothic" w:cs="Times New Roman"/>
                <w:b/>
                <w:bCs/>
                <w:color w:val="4D4F53"/>
                <w:lang w:eastAsia="en-AU"/>
              </w:rPr>
            </w:pPr>
            <w:r w:rsidRPr="00563BE4">
              <w:rPr>
                <w:rFonts w:eastAsia="Century Gothic" w:cs="Times New Roman"/>
                <w:b/>
                <w:bCs/>
                <w:color w:val="4D4F53"/>
                <w:lang w:eastAsia="en-AU"/>
              </w:rPr>
              <w:t>All Goodstarters</w:t>
            </w:r>
          </w:p>
        </w:tc>
        <w:tc>
          <w:tcPr>
            <w:tcW w:w="7280" w:type="dxa"/>
            <w:tcBorders>
              <w:top w:val="single" w:sz="4" w:space="0" w:color="auto"/>
              <w:left w:val="single" w:sz="4" w:space="0" w:color="auto"/>
              <w:bottom w:val="single" w:sz="4" w:space="0" w:color="auto"/>
              <w:right w:val="single" w:sz="4" w:space="0" w:color="auto"/>
            </w:tcBorders>
          </w:tcPr>
          <w:p w14:paraId="39378A55" w14:textId="2C0989C8" w:rsidR="00A910CD" w:rsidRPr="00563BE4" w:rsidRDefault="00CF37AE"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Identifying and m</w:t>
            </w:r>
            <w:r w:rsidR="00A910CD" w:rsidRPr="00563BE4">
              <w:rPr>
                <w:rFonts w:eastAsia="Century Gothic" w:cs="Times New Roman"/>
                <w:color w:val="4D4F53"/>
              </w:rPr>
              <w:t>anaging risks associated within their role and function.</w:t>
            </w:r>
          </w:p>
          <w:p w14:paraId="22C2B07A" w14:textId="27007164" w:rsidR="00A910CD" w:rsidRPr="00563BE4" w:rsidRDefault="00884DD2"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Always</w:t>
            </w:r>
            <w:r w:rsidR="00A910CD" w:rsidRPr="00563BE4">
              <w:rPr>
                <w:rFonts w:eastAsia="Century Gothic" w:cs="Times New Roman"/>
                <w:color w:val="4D4F53"/>
              </w:rPr>
              <w:t xml:space="preserve"> complying with </w:t>
            </w:r>
            <w:r w:rsidR="0008350B">
              <w:rPr>
                <w:rFonts w:eastAsia="Century Gothic" w:cs="Times New Roman"/>
                <w:color w:val="4D4F53"/>
              </w:rPr>
              <w:t>all</w:t>
            </w:r>
            <w:r w:rsidR="00A910CD" w:rsidRPr="00563BE4">
              <w:rPr>
                <w:rFonts w:eastAsia="Century Gothic" w:cs="Times New Roman"/>
                <w:color w:val="4D4F53"/>
              </w:rPr>
              <w:t xml:space="preserve"> legal and regulatory obligations.</w:t>
            </w:r>
          </w:p>
          <w:p w14:paraId="7CEAFCED" w14:textId="77777777" w:rsidR="00A910CD" w:rsidRDefault="00A910CD" w:rsidP="00EE3B45">
            <w:pPr>
              <w:pStyle w:val="ListParagraph"/>
              <w:numPr>
                <w:ilvl w:val="0"/>
                <w:numId w:val="21"/>
              </w:numPr>
              <w:spacing w:before="60" w:after="60"/>
              <w:ind w:left="376" w:hanging="376"/>
              <w:contextualSpacing w:val="0"/>
              <w:rPr>
                <w:rFonts w:eastAsia="Century Gothic" w:cs="Times New Roman"/>
                <w:color w:val="4D4F53"/>
              </w:rPr>
            </w:pPr>
            <w:r w:rsidRPr="00563BE4">
              <w:rPr>
                <w:rFonts w:eastAsia="Century Gothic" w:cs="Times New Roman"/>
                <w:color w:val="4D4F53"/>
              </w:rPr>
              <w:t>Participating in assurance activities and supporting a risk-aware culture.</w:t>
            </w:r>
          </w:p>
          <w:p w14:paraId="21F90ABE" w14:textId="21FDFF00" w:rsidR="004A75AF" w:rsidRPr="00563BE4" w:rsidRDefault="004A75AF" w:rsidP="00EE3B45">
            <w:pPr>
              <w:pStyle w:val="ListParagraph"/>
              <w:numPr>
                <w:ilvl w:val="0"/>
                <w:numId w:val="21"/>
              </w:numPr>
              <w:spacing w:before="60" w:after="60"/>
              <w:ind w:left="376" w:hanging="376"/>
              <w:contextualSpacing w:val="0"/>
              <w:rPr>
                <w:rFonts w:eastAsia="Century Gothic" w:cs="Times New Roman"/>
                <w:color w:val="4D4F53"/>
              </w:rPr>
            </w:pPr>
            <w:r>
              <w:rPr>
                <w:rFonts w:eastAsia="Century Gothic" w:cs="Times New Roman"/>
                <w:color w:val="4D4F53"/>
              </w:rPr>
              <w:t>Reporting all incidents and breaches within required timeframes.</w:t>
            </w:r>
          </w:p>
        </w:tc>
      </w:tr>
    </w:tbl>
    <w:p w14:paraId="588B474C" w14:textId="55FC0F24" w:rsidR="005C0B18" w:rsidRPr="00B453D6" w:rsidRDefault="005C0B18" w:rsidP="005C0B18">
      <w:pPr>
        <w:rPr>
          <w:rFonts w:eastAsia="Century Gothic" w:cs="Times New Roman"/>
          <w:color w:val="4D4F53"/>
        </w:rPr>
      </w:pPr>
    </w:p>
    <w:p w14:paraId="75C0162B" w14:textId="77777777" w:rsidR="00006E15" w:rsidRPr="004741CD" w:rsidRDefault="00006E15" w:rsidP="00006E15">
      <w:pPr>
        <w:pStyle w:val="Heading1"/>
        <w:rPr>
          <w:sz w:val="28"/>
          <w:szCs w:val="28"/>
        </w:rPr>
      </w:pPr>
      <w:r w:rsidRPr="004741CD">
        <w:rPr>
          <w:sz w:val="28"/>
          <w:szCs w:val="28"/>
        </w:rPr>
        <w:t>Responsibilities</w:t>
      </w:r>
    </w:p>
    <w:p w14:paraId="5BB6ECE7" w14:textId="570AD8C0" w:rsidR="00C6403C" w:rsidRPr="009B66D3" w:rsidRDefault="00006E15" w:rsidP="00FF3F5C">
      <w:pPr>
        <w:tabs>
          <w:tab w:val="left" w:pos="1239"/>
        </w:tabs>
      </w:pPr>
      <w:r>
        <w:t xml:space="preserve">This procedure is to be implemented by: </w:t>
      </w:r>
      <w:r w:rsidRPr="00006E15">
        <w:rPr>
          <w:szCs w:val="20"/>
        </w:rPr>
        <w:t xml:space="preserve">All Goodstart </w:t>
      </w:r>
      <w:r w:rsidR="00E30364">
        <w:rPr>
          <w:szCs w:val="20"/>
        </w:rPr>
        <w:t>employees</w:t>
      </w:r>
    </w:p>
    <w:sectPr w:rsidR="00C6403C" w:rsidRPr="009B66D3" w:rsidSect="00BB305C">
      <w:headerReference w:type="default" r:id="rId16"/>
      <w:footerReference w:type="default" r:id="rId17"/>
      <w:headerReference w:type="first" r:id="rId18"/>
      <w:footerReference w:type="first" r:id="rId19"/>
      <w:pgSz w:w="11906" w:h="16838"/>
      <w:pgMar w:top="1702" w:right="1134" w:bottom="993" w:left="1134" w:header="284" w:footer="1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F76A" w14:textId="77777777" w:rsidR="00233DB9" w:rsidRDefault="00233DB9" w:rsidP="008E7804">
      <w:pPr>
        <w:spacing w:after="0" w:line="240" w:lineRule="auto"/>
      </w:pPr>
      <w:r>
        <w:separator/>
      </w:r>
    </w:p>
  </w:endnote>
  <w:endnote w:type="continuationSeparator" w:id="0">
    <w:p w14:paraId="228A29EF" w14:textId="77777777" w:rsidR="00233DB9" w:rsidRDefault="00233DB9" w:rsidP="008E7804">
      <w:pPr>
        <w:spacing w:after="0" w:line="240" w:lineRule="auto"/>
      </w:pPr>
      <w:r>
        <w:continuationSeparator/>
      </w:r>
    </w:p>
  </w:endnote>
  <w:endnote w:type="continuationNotice" w:id="1">
    <w:p w14:paraId="68A19784" w14:textId="77777777" w:rsidR="00233DB9" w:rsidRDefault="00233D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364E91" w:rsidRPr="004C2EC2" w14:paraId="3B728231"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14505390" w14:textId="77777777" w:rsidR="00364E91" w:rsidRPr="004C2EC2" w:rsidRDefault="00364E91" w:rsidP="00364E9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68A27514" w14:textId="77777777" w:rsidR="00364E91" w:rsidRPr="004C2EC2" w:rsidRDefault="00364E91" w:rsidP="00364E91">
          <w:pPr>
            <w:rPr>
              <w:rFonts w:ascii="Arial" w:eastAsia="Calibri" w:hAnsi="Arial"/>
              <w:b/>
              <w:color w:val="4F4F4F"/>
              <w:sz w:val="14"/>
              <w:szCs w:val="14"/>
            </w:rPr>
          </w:pPr>
          <w:r>
            <w:rPr>
              <w:rFonts w:ascii="Arial" w:eastAsia="Calibri" w:hAnsi="Arial"/>
              <w:color w:val="4F4F4F"/>
              <w:sz w:val="14"/>
              <w:szCs w:val="14"/>
            </w:rPr>
            <w:t>BM3 Risk and Assurance Policy</w:t>
          </w:r>
        </w:p>
      </w:tc>
    </w:tr>
    <w:tr w:rsidR="00364E91" w:rsidRPr="004C2EC2" w14:paraId="477506F2"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32F96A4B" w14:textId="77777777" w:rsidR="00364E91" w:rsidRPr="004C2EC2" w:rsidRDefault="00364E91" w:rsidP="00364E9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256F8694" w14:textId="77777777" w:rsidR="00364E91" w:rsidRPr="004C2EC2" w:rsidRDefault="00364E91" w:rsidP="00364E91">
          <w:pPr>
            <w:rPr>
              <w:rFonts w:ascii="Arial" w:eastAsia="Calibri" w:hAnsi="Arial"/>
              <w:color w:val="4F4F4F"/>
              <w:sz w:val="11"/>
              <w:szCs w:val="11"/>
            </w:rPr>
          </w:pPr>
          <w:r>
            <w:rPr>
              <w:rFonts w:ascii="Arial" w:eastAsia="Calibri" w:hAnsi="Arial"/>
              <w:color w:val="4F4F4F"/>
              <w:sz w:val="11"/>
              <w:szCs w:val="11"/>
            </w:rPr>
            <w:t>Goodstart Board</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428AB29C" w14:textId="77777777" w:rsidR="00364E91" w:rsidRPr="004C2EC2" w:rsidRDefault="00364E91" w:rsidP="00364E91">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5DF2D227" w14:textId="064EC9BB" w:rsidR="00364E91" w:rsidRPr="004C2EC2" w:rsidRDefault="004F314E" w:rsidP="00364E91">
          <w:pPr>
            <w:rPr>
              <w:rFonts w:ascii="Arial" w:eastAsia="Calibri" w:hAnsi="Arial"/>
              <w:color w:val="4F4F4F"/>
              <w:sz w:val="11"/>
              <w:szCs w:val="11"/>
            </w:rPr>
          </w:pPr>
          <w:r>
            <w:rPr>
              <w:rFonts w:ascii="Arial" w:eastAsia="Calibri" w:hAnsi="Arial"/>
              <w:color w:val="4F4F4F"/>
              <w:sz w:val="11"/>
              <w:szCs w:val="11"/>
            </w:rPr>
            <w:t>Jeremy Peck, Head of Risk and Assurance</w:t>
          </w:r>
        </w:p>
      </w:tc>
    </w:tr>
    <w:tr w:rsidR="00364E91" w:rsidRPr="004C2EC2" w14:paraId="78DEF93F"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6F985784" w14:textId="77777777" w:rsidR="00364E91" w:rsidRPr="004C2EC2" w:rsidRDefault="00364E91" w:rsidP="00364E9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4262487B" w14:textId="11B09D6C" w:rsidR="00364E91" w:rsidRPr="004C2EC2" w:rsidRDefault="00055EAC" w:rsidP="00364E91">
          <w:pPr>
            <w:rPr>
              <w:rFonts w:ascii="Arial" w:eastAsia="Calibri" w:hAnsi="Arial"/>
              <w:b/>
              <w:color w:val="4F4F4F"/>
              <w:sz w:val="11"/>
              <w:szCs w:val="11"/>
            </w:rPr>
          </w:pPr>
          <w:r>
            <w:rPr>
              <w:rFonts w:ascii="Arial" w:eastAsia="Calibri" w:hAnsi="Arial"/>
              <w:bCs/>
              <w:color w:val="4F4F4F"/>
              <w:sz w:val="11"/>
              <w:szCs w:val="11"/>
            </w:rPr>
            <w:t>16/10/2025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4F837551" w14:textId="77777777" w:rsidR="00364E91" w:rsidRPr="004C2EC2" w:rsidRDefault="00364E91" w:rsidP="00364E9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01388E14" w14:textId="1EBDA78C" w:rsidR="00364E91" w:rsidRPr="004C2EC2" w:rsidRDefault="00364E91" w:rsidP="00364E91">
          <w:pPr>
            <w:rPr>
              <w:rFonts w:ascii="Arial" w:eastAsia="Calibri" w:hAnsi="Arial"/>
              <w:color w:val="4F4F4F"/>
              <w:sz w:val="11"/>
              <w:szCs w:val="11"/>
            </w:rPr>
          </w:pPr>
          <w:r w:rsidRPr="004C2EC2">
            <w:rPr>
              <w:rFonts w:ascii="Arial" w:eastAsia="Calibri" w:hAnsi="Arial"/>
              <w:bCs/>
              <w:color w:val="4F4F4F"/>
              <w:sz w:val="11"/>
              <w:szCs w:val="11"/>
            </w:rPr>
            <w:t>V</w:t>
          </w:r>
          <w:r>
            <w:rPr>
              <w:rFonts w:ascii="Arial" w:eastAsia="Calibri" w:hAnsi="Arial"/>
              <w:bCs/>
              <w:color w:val="4F4F4F"/>
              <w:sz w:val="11"/>
              <w:szCs w:val="11"/>
            </w:rPr>
            <w:t>1</w:t>
          </w:r>
          <w:r w:rsidR="00055EAC">
            <w:rPr>
              <w:rFonts w:ascii="Arial" w:eastAsia="Calibri" w:hAnsi="Arial"/>
              <w:bCs/>
              <w:color w:val="4F4F4F"/>
              <w:sz w:val="11"/>
              <w:szCs w:val="11"/>
            </w:rPr>
            <w:t>3.0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71AF4D16" w14:textId="77777777" w:rsidR="00364E91" w:rsidRPr="004C2EC2" w:rsidRDefault="00364E91" w:rsidP="00364E9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6D2D2B31" w14:textId="0CD7FC3D" w:rsidR="00364E91" w:rsidRPr="004C2EC2" w:rsidRDefault="00055EAC" w:rsidP="00364E91">
          <w:pPr>
            <w:rPr>
              <w:rFonts w:ascii="Arial" w:eastAsia="Calibri" w:hAnsi="Arial"/>
              <w:color w:val="4F4F4F"/>
              <w:sz w:val="11"/>
              <w:szCs w:val="11"/>
            </w:rPr>
          </w:pPr>
          <w:r>
            <w:rPr>
              <w:rFonts w:ascii="Arial" w:eastAsia="Calibri" w:hAnsi="Arial"/>
              <w:bCs/>
              <w:color w:val="4F4F4F"/>
              <w:sz w:val="11"/>
              <w:szCs w:val="11"/>
            </w:rPr>
            <w:t>30/11/2026</w:t>
          </w:r>
        </w:p>
      </w:tc>
    </w:tr>
    <w:tr w:rsidR="00364E91" w:rsidRPr="004C2EC2" w14:paraId="14428254" w14:textId="77777777" w:rsidTr="004152D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1D0CEF3C" w14:textId="77777777" w:rsidR="00364E91" w:rsidRPr="004C2EC2" w:rsidRDefault="00364E91" w:rsidP="00364E9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1052960251"/>
      <w:docPartObj>
        <w:docPartGallery w:val="Page Numbers (Bottom of Page)"/>
        <w:docPartUnique/>
      </w:docPartObj>
    </w:sdtPr>
    <w:sdtEndPr>
      <w:rPr>
        <w:noProof/>
      </w:rPr>
    </w:sdtEndPr>
    <w:sdtContent>
      <w:p w14:paraId="7E58577D" w14:textId="6B7FC2CE" w:rsidR="00364E91" w:rsidRDefault="00364E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C0180E" w14:textId="77777777" w:rsidR="00131253" w:rsidRPr="004C0113" w:rsidRDefault="00131253" w:rsidP="004C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364E91" w:rsidRPr="004C2EC2" w14:paraId="26EE4C4A"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082BD0DA" w14:textId="77777777" w:rsidR="00364E91" w:rsidRPr="004C2EC2" w:rsidRDefault="00364E91" w:rsidP="00364E9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13F7DD37" w14:textId="77777777" w:rsidR="00364E91" w:rsidRPr="004C2EC2" w:rsidRDefault="00364E91" w:rsidP="00364E91">
          <w:pPr>
            <w:rPr>
              <w:rFonts w:ascii="Arial" w:eastAsia="Calibri" w:hAnsi="Arial"/>
              <w:b/>
              <w:color w:val="4F4F4F"/>
              <w:sz w:val="14"/>
              <w:szCs w:val="14"/>
            </w:rPr>
          </w:pPr>
          <w:r>
            <w:rPr>
              <w:rFonts w:ascii="Arial" w:eastAsia="Calibri" w:hAnsi="Arial"/>
              <w:color w:val="4F4F4F"/>
              <w:sz w:val="14"/>
              <w:szCs w:val="14"/>
            </w:rPr>
            <w:t>BM3 Risk and Assurance Policy</w:t>
          </w:r>
        </w:p>
      </w:tc>
    </w:tr>
    <w:tr w:rsidR="00364E91" w:rsidRPr="004C2EC2" w14:paraId="1A6E3322"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EF18D66" w14:textId="77777777" w:rsidR="00364E91" w:rsidRPr="004C2EC2" w:rsidRDefault="00364E91" w:rsidP="00364E9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33CA45B7" w14:textId="77777777" w:rsidR="00364E91" w:rsidRPr="004C2EC2" w:rsidRDefault="00364E91" w:rsidP="00364E91">
          <w:pPr>
            <w:rPr>
              <w:rFonts w:ascii="Arial" w:eastAsia="Calibri" w:hAnsi="Arial"/>
              <w:color w:val="4F4F4F"/>
              <w:sz w:val="11"/>
              <w:szCs w:val="11"/>
            </w:rPr>
          </w:pPr>
          <w:r>
            <w:rPr>
              <w:rFonts w:ascii="Arial" w:eastAsia="Calibri" w:hAnsi="Arial"/>
              <w:color w:val="4F4F4F"/>
              <w:sz w:val="11"/>
              <w:szCs w:val="11"/>
            </w:rPr>
            <w:t>Goodstart Board</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71E15824" w14:textId="77777777" w:rsidR="00364E91" w:rsidRPr="004C2EC2" w:rsidRDefault="00364E91" w:rsidP="00364E91">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6CFF5509" w14:textId="610EA56A" w:rsidR="00364E91" w:rsidRPr="004C2EC2" w:rsidRDefault="004F314E" w:rsidP="00364E91">
          <w:pPr>
            <w:rPr>
              <w:rFonts w:ascii="Arial" w:eastAsia="Calibri" w:hAnsi="Arial"/>
              <w:color w:val="4F4F4F"/>
              <w:sz w:val="11"/>
              <w:szCs w:val="11"/>
            </w:rPr>
          </w:pPr>
          <w:r>
            <w:rPr>
              <w:rFonts w:ascii="Arial" w:eastAsia="Calibri" w:hAnsi="Arial"/>
              <w:color w:val="4F4F4F"/>
              <w:sz w:val="11"/>
              <w:szCs w:val="11"/>
            </w:rPr>
            <w:t>Jeremy Peck, Head of Risk and Assurance</w:t>
          </w:r>
        </w:p>
      </w:tc>
    </w:tr>
    <w:tr w:rsidR="00055EAC" w:rsidRPr="004C2EC2" w14:paraId="675869F9"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0AC5262" w14:textId="77777777" w:rsidR="00055EAC" w:rsidRPr="004C2EC2" w:rsidRDefault="00055EAC" w:rsidP="00055EAC">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3DE12177" w14:textId="4046AF0B" w:rsidR="00055EAC" w:rsidRPr="004C2EC2" w:rsidRDefault="00055EAC" w:rsidP="00055EAC">
          <w:pPr>
            <w:rPr>
              <w:rFonts w:ascii="Arial" w:eastAsia="Calibri" w:hAnsi="Arial"/>
              <w:b/>
              <w:color w:val="4F4F4F"/>
              <w:sz w:val="11"/>
              <w:szCs w:val="11"/>
            </w:rPr>
          </w:pPr>
          <w:r>
            <w:rPr>
              <w:rFonts w:ascii="Arial" w:eastAsia="Calibri" w:hAnsi="Arial"/>
              <w:bCs/>
              <w:color w:val="4F4F4F"/>
              <w:sz w:val="11"/>
              <w:szCs w:val="11"/>
            </w:rPr>
            <w:t>16/10/2025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00CD9DFD" w14:textId="4ABEB2CA" w:rsidR="00055EAC" w:rsidRPr="004C2EC2" w:rsidRDefault="00055EAC" w:rsidP="00055EAC">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6B329886" w14:textId="27B11F0E" w:rsidR="00055EAC" w:rsidRPr="004C2EC2" w:rsidRDefault="00055EAC" w:rsidP="00055EAC">
          <w:pPr>
            <w:rPr>
              <w:rFonts w:ascii="Arial" w:eastAsia="Calibri" w:hAnsi="Arial"/>
              <w:color w:val="4F4F4F"/>
              <w:sz w:val="11"/>
              <w:szCs w:val="11"/>
            </w:rPr>
          </w:pPr>
          <w:r w:rsidRPr="004C2EC2">
            <w:rPr>
              <w:rFonts w:ascii="Arial" w:eastAsia="Calibri" w:hAnsi="Arial"/>
              <w:bCs/>
              <w:color w:val="4F4F4F"/>
              <w:sz w:val="11"/>
              <w:szCs w:val="11"/>
            </w:rPr>
            <w:t>V</w:t>
          </w:r>
          <w:r>
            <w:rPr>
              <w:rFonts w:ascii="Arial" w:eastAsia="Calibri" w:hAnsi="Arial"/>
              <w:bCs/>
              <w:color w:val="4F4F4F"/>
              <w:sz w:val="11"/>
              <w:szCs w:val="11"/>
            </w:rPr>
            <w:t>13.0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0F122D91" w14:textId="310F555D" w:rsidR="00055EAC" w:rsidRPr="004C2EC2" w:rsidRDefault="00055EAC" w:rsidP="00055EAC">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476ACD72" w14:textId="2F63CF17" w:rsidR="00055EAC" w:rsidRPr="004C2EC2" w:rsidRDefault="00055EAC" w:rsidP="00055EAC">
          <w:pPr>
            <w:rPr>
              <w:rFonts w:ascii="Arial" w:eastAsia="Calibri" w:hAnsi="Arial"/>
              <w:color w:val="4F4F4F"/>
              <w:sz w:val="11"/>
              <w:szCs w:val="11"/>
            </w:rPr>
          </w:pPr>
          <w:r>
            <w:rPr>
              <w:rFonts w:ascii="Arial" w:eastAsia="Calibri" w:hAnsi="Arial"/>
              <w:bCs/>
              <w:color w:val="4F4F4F"/>
              <w:sz w:val="11"/>
              <w:szCs w:val="11"/>
            </w:rPr>
            <w:t>30/11/2026</w:t>
          </w:r>
        </w:p>
      </w:tc>
    </w:tr>
    <w:tr w:rsidR="00364E91" w:rsidRPr="004C2EC2" w14:paraId="3508E865" w14:textId="77777777" w:rsidTr="004152D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45E67450" w14:textId="77777777" w:rsidR="00364E91" w:rsidRPr="004C2EC2" w:rsidRDefault="00364E91" w:rsidP="00364E9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1950695264"/>
      <w:docPartObj>
        <w:docPartGallery w:val="Page Numbers (Bottom of Page)"/>
        <w:docPartUnique/>
      </w:docPartObj>
    </w:sdtPr>
    <w:sdtEndPr>
      <w:rPr>
        <w:noProof/>
      </w:rPr>
    </w:sdtEndPr>
    <w:sdtContent>
      <w:p w14:paraId="7105AC02" w14:textId="5944F7A6" w:rsidR="00364E91" w:rsidRDefault="00364E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81D57F" w14:textId="1CBF76AC" w:rsidR="00131253" w:rsidRDefault="00131253" w:rsidP="00D84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A7C6C" w14:textId="77777777" w:rsidR="00233DB9" w:rsidRDefault="00233DB9" w:rsidP="008E7804">
      <w:pPr>
        <w:spacing w:after="0" w:line="240" w:lineRule="auto"/>
      </w:pPr>
      <w:r>
        <w:separator/>
      </w:r>
    </w:p>
  </w:footnote>
  <w:footnote w:type="continuationSeparator" w:id="0">
    <w:p w14:paraId="4E2650BF" w14:textId="77777777" w:rsidR="00233DB9" w:rsidRDefault="00233DB9" w:rsidP="008E7804">
      <w:pPr>
        <w:spacing w:after="0" w:line="240" w:lineRule="auto"/>
      </w:pPr>
      <w:r>
        <w:continuationSeparator/>
      </w:r>
    </w:p>
  </w:footnote>
  <w:footnote w:type="continuationNotice" w:id="1">
    <w:p w14:paraId="77E4F4DC" w14:textId="77777777" w:rsidR="00233DB9" w:rsidRDefault="00233D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3F432D8C" w:rsidR="004C0113" w:rsidRPr="004C0113" w:rsidRDefault="00837E63" w:rsidP="00213EEF">
    <w:pPr>
      <w:pStyle w:val="Header"/>
      <w:spacing w:before="240"/>
      <w:jc w:val="right"/>
      <w:rPr>
        <w:b/>
        <w:bCs/>
        <w:color w:val="00A9E0" w:themeColor="accent1"/>
        <w:sz w:val="28"/>
        <w:szCs w:val="32"/>
      </w:rPr>
    </w:pPr>
    <w:r>
      <w:rPr>
        <w:b/>
        <w:bCs/>
        <w:color w:val="00A9E0" w:themeColor="accent1"/>
        <w:sz w:val="28"/>
        <w:szCs w:val="32"/>
      </w:rPr>
      <w:t>Risk and Assurance</w:t>
    </w:r>
    <w:r w:rsidR="0073578E">
      <w:rPr>
        <w:b/>
        <w:bCs/>
        <w:color w:val="00A9E0" w:themeColor="accent1"/>
        <w:sz w:val="28"/>
        <w:szCs w:val="32"/>
      </w:rPr>
      <w:t xml:space="preserve"> (Board policy)</w:t>
    </w:r>
  </w:p>
  <w:p w14:paraId="4E286A6E" w14:textId="6ACAF892" w:rsidR="00AC7E19" w:rsidRPr="00AC7E19" w:rsidRDefault="008952C3" w:rsidP="00AC7E19">
    <w:pPr>
      <w:pStyle w:val="Header"/>
      <w:jc w:val="right"/>
      <w:rPr>
        <w:b/>
        <w:bCs/>
        <w:color w:val="A7A9AC" w:themeColor="text2"/>
        <w:sz w:val="28"/>
        <w:szCs w:val="32"/>
      </w:rPr>
    </w:pPr>
    <w:r>
      <w:rPr>
        <w:b/>
        <w:bCs/>
        <w:color w:val="A7A9AC" w:themeColor="text2"/>
        <w:sz w:val="28"/>
        <w:szCs w:val="32"/>
      </w:rPr>
      <w:t>P</w:t>
    </w:r>
    <w:r w:rsidR="00837E63">
      <w:rPr>
        <w:b/>
        <w:bCs/>
        <w:color w:val="A7A9AC" w:themeColor="text2"/>
        <w:sz w:val="28"/>
        <w:szCs w:val="32"/>
      </w:rPr>
      <w:t>olicy</w:t>
    </w:r>
    <w:r w:rsidR="004C0113" w:rsidRPr="007D2815">
      <w:rPr>
        <w:b/>
        <w:bCs/>
        <w:color w:val="A7A9AC" w:themeColor="text2"/>
        <w:sz w:val="28"/>
        <w:szCs w:val="32"/>
      </w:rPr>
      <w:t xml:space="preserve">| </w:t>
    </w:r>
    <w:r w:rsidR="00837E63">
      <w:rPr>
        <w:b/>
        <w:bCs/>
        <w:color w:val="A7A9AC" w:themeColor="text2"/>
        <w:sz w:val="28"/>
        <w:szCs w:val="32"/>
      </w:rPr>
      <w:t>BM3</w:t>
    </w:r>
  </w:p>
  <w:p w14:paraId="1D21490D"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8240" behindDoc="1" locked="0" layoutInCell="1" allowOverlap="1" wp14:anchorId="561D7131" wp14:editId="0DA093B8">
              <wp:simplePos x="0" y="0"/>
              <wp:positionH relativeFrom="column">
                <wp:posOffset>-721522</wp:posOffset>
              </wp:positionH>
              <wp:positionV relativeFrom="paragraph">
                <wp:posOffset>-131445</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02645DE2" id="Group 2" o:spid="_x0000_s1026" style="position:absolute;margin-left:-56.8pt;margin-top:-10.35pt;width:594.75pt;height:107.2pt;z-index:-251658240;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IhdqvfiAAAADQ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25F10D5A" w:rsidR="00D37368" w:rsidRPr="00BA2C48" w:rsidRDefault="00837E63" w:rsidP="0098510E">
    <w:pPr>
      <w:pStyle w:val="Header"/>
      <w:spacing w:after="120"/>
      <w:ind w:left="1560" w:right="849"/>
      <w:jc w:val="center"/>
      <w:rPr>
        <w:b/>
        <w:bCs/>
        <w:color w:val="FFFFFF" w:themeColor="background1"/>
        <w:sz w:val="28"/>
        <w:szCs w:val="32"/>
      </w:rPr>
    </w:pPr>
    <w:r>
      <w:rPr>
        <w:b/>
        <w:bCs/>
        <w:color w:val="FFFFFF" w:themeColor="background1"/>
        <w:sz w:val="28"/>
        <w:szCs w:val="32"/>
      </w:rPr>
      <w:t>Risk and Assurance</w:t>
    </w:r>
    <w:r w:rsidR="001E507F">
      <w:rPr>
        <w:b/>
        <w:bCs/>
        <w:color w:val="FFFFFF" w:themeColor="background1"/>
        <w:sz w:val="28"/>
        <w:szCs w:val="32"/>
      </w:rPr>
      <w:t xml:space="preserve"> (Board policy)</w:t>
    </w:r>
  </w:p>
  <w:p w14:paraId="7BBA27A9" w14:textId="50304DFE"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1E507F">
      <w:rPr>
        <w:b/>
        <w:bCs/>
        <w:color w:val="007EA7" w:themeColor="accent1" w:themeShade="BF"/>
        <w:sz w:val="28"/>
        <w:szCs w:val="32"/>
      </w:rPr>
      <w:t>B</w:t>
    </w:r>
    <w:r w:rsidR="00ED0673">
      <w:rPr>
        <w:b/>
        <w:bCs/>
        <w:color w:val="007EA7" w:themeColor="accent1" w:themeShade="BF"/>
        <w:sz w:val="28"/>
        <w:szCs w:val="32"/>
      </w:rPr>
      <w:t>M</w:t>
    </w:r>
    <w:r w:rsidR="00837E63">
      <w:rPr>
        <w:b/>
        <w:bCs/>
        <w:color w:val="007EA7" w:themeColor="accent1" w:themeShade="BF"/>
        <w:sz w:val="28"/>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22F"/>
    <w:multiLevelType w:val="hybridMultilevel"/>
    <w:tmpl w:val="6B040ABE"/>
    <w:lvl w:ilvl="0" w:tplc="0C090001">
      <w:start w:val="1"/>
      <w:numFmt w:val="bullet"/>
      <w:lvlText w:val=""/>
      <w:lvlJc w:val="left"/>
      <w:pPr>
        <w:ind w:left="861" w:hanging="360"/>
      </w:pPr>
      <w:rPr>
        <w:rFonts w:ascii="Symbol" w:hAnsi="Symbol" w:hint="default"/>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abstractNum w:abstractNumId="1" w15:restartNumberingAfterBreak="0">
    <w:nsid w:val="036607A1"/>
    <w:multiLevelType w:val="hybridMultilevel"/>
    <w:tmpl w:val="ABEC1C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81BF7"/>
    <w:multiLevelType w:val="hybridMultilevel"/>
    <w:tmpl w:val="22A2FF3C"/>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B7466C"/>
    <w:multiLevelType w:val="hybridMultilevel"/>
    <w:tmpl w:val="9BFCC020"/>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0576EDA"/>
    <w:multiLevelType w:val="hybridMultilevel"/>
    <w:tmpl w:val="C6C891C4"/>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4D29C8"/>
    <w:multiLevelType w:val="hybridMultilevel"/>
    <w:tmpl w:val="204EBB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E552ED3"/>
    <w:multiLevelType w:val="hybridMultilevel"/>
    <w:tmpl w:val="02E8FD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F3C47E2"/>
    <w:multiLevelType w:val="hybridMultilevel"/>
    <w:tmpl w:val="E578BC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65E794D"/>
    <w:multiLevelType w:val="hybridMultilevel"/>
    <w:tmpl w:val="877E915E"/>
    <w:lvl w:ilvl="0" w:tplc="ED6E22EE">
      <w:start w:val="1"/>
      <w:numFmt w:val="bullet"/>
      <w:pStyle w:val="Arrowbullets"/>
      <w:lvlText w:val=""/>
      <w:lvlJc w:val="left"/>
      <w:pPr>
        <w:ind w:left="720" w:hanging="360"/>
      </w:pPr>
      <w:rPr>
        <w:rFonts w:ascii="Wingdings 3" w:hAnsi="Wingdings 3"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5C1397"/>
    <w:multiLevelType w:val="hybridMultilevel"/>
    <w:tmpl w:val="7D8A81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B693A83"/>
    <w:multiLevelType w:val="hybridMultilevel"/>
    <w:tmpl w:val="C3401212"/>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F062240"/>
    <w:multiLevelType w:val="hybridMultilevel"/>
    <w:tmpl w:val="5CB023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79C2228"/>
    <w:multiLevelType w:val="hybridMultilevel"/>
    <w:tmpl w:val="171E1A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13"/>
  </w:num>
  <w:num w:numId="2" w16cid:durableId="1610507159">
    <w:abstractNumId w:val="12"/>
  </w:num>
  <w:num w:numId="3" w16cid:durableId="1921671894">
    <w:abstractNumId w:val="24"/>
  </w:num>
  <w:num w:numId="4" w16cid:durableId="322200905">
    <w:abstractNumId w:val="25"/>
  </w:num>
  <w:num w:numId="5" w16cid:durableId="1397897354">
    <w:abstractNumId w:val="17"/>
  </w:num>
  <w:num w:numId="6" w16cid:durableId="747266397">
    <w:abstractNumId w:val="26"/>
  </w:num>
  <w:num w:numId="7" w16cid:durableId="293605704">
    <w:abstractNumId w:val="8"/>
  </w:num>
  <w:num w:numId="8" w16cid:durableId="1121416653">
    <w:abstractNumId w:val="4"/>
  </w:num>
  <w:num w:numId="9" w16cid:durableId="782310208">
    <w:abstractNumId w:val="7"/>
  </w:num>
  <w:num w:numId="10" w16cid:durableId="557789585">
    <w:abstractNumId w:val="19"/>
  </w:num>
  <w:num w:numId="11" w16cid:durableId="190654136">
    <w:abstractNumId w:val="21"/>
  </w:num>
  <w:num w:numId="12" w16cid:durableId="1619989475">
    <w:abstractNumId w:val="11"/>
  </w:num>
  <w:num w:numId="13" w16cid:durableId="1375429013">
    <w:abstractNumId w:val="20"/>
  </w:num>
  <w:num w:numId="14" w16cid:durableId="91782047">
    <w:abstractNumId w:val="15"/>
  </w:num>
  <w:num w:numId="15" w16cid:durableId="337126266">
    <w:abstractNumId w:val="14"/>
  </w:num>
  <w:num w:numId="16" w16cid:durableId="404031428">
    <w:abstractNumId w:val="23"/>
  </w:num>
  <w:num w:numId="17" w16cid:durableId="167402778">
    <w:abstractNumId w:val="1"/>
  </w:num>
  <w:num w:numId="18" w16cid:durableId="746148150">
    <w:abstractNumId w:val="6"/>
  </w:num>
  <w:num w:numId="19" w16cid:durableId="725447472">
    <w:abstractNumId w:val="9"/>
  </w:num>
  <w:num w:numId="20" w16cid:durableId="1217930810">
    <w:abstractNumId w:val="18"/>
  </w:num>
  <w:num w:numId="21" w16cid:durableId="1206406069">
    <w:abstractNumId w:val="5"/>
  </w:num>
  <w:num w:numId="22" w16cid:durableId="1487167801">
    <w:abstractNumId w:val="3"/>
  </w:num>
  <w:num w:numId="23" w16cid:durableId="99761330">
    <w:abstractNumId w:val="10"/>
  </w:num>
  <w:num w:numId="24" w16cid:durableId="105660745">
    <w:abstractNumId w:val="22"/>
  </w:num>
  <w:num w:numId="25" w16cid:durableId="464540629">
    <w:abstractNumId w:val="16"/>
  </w:num>
  <w:num w:numId="26" w16cid:durableId="1533423325">
    <w:abstractNumId w:val="0"/>
  </w:num>
  <w:num w:numId="27" w16cid:durableId="885871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CImIXCMH1ntRX8MZuOevcV59lWj/Kn7sPHq3kI9qlTJt2+lFPZ75NE58XCREjU43/pEH3fz5oFCRiKPw1LcBUQ==" w:salt="w3RLYbWbhLKyjL73a4/F1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24875"/>
    <w:rsid w:val="00033314"/>
    <w:rsid w:val="000370DF"/>
    <w:rsid w:val="00042E30"/>
    <w:rsid w:val="00055EAC"/>
    <w:rsid w:val="00056072"/>
    <w:rsid w:val="00061986"/>
    <w:rsid w:val="00064711"/>
    <w:rsid w:val="00073465"/>
    <w:rsid w:val="00076C79"/>
    <w:rsid w:val="00080DBD"/>
    <w:rsid w:val="0008350B"/>
    <w:rsid w:val="000864A8"/>
    <w:rsid w:val="0008688A"/>
    <w:rsid w:val="000909C2"/>
    <w:rsid w:val="00095D7C"/>
    <w:rsid w:val="000A2879"/>
    <w:rsid w:val="000A615D"/>
    <w:rsid w:val="000A7EFE"/>
    <w:rsid w:val="000B1EF3"/>
    <w:rsid w:val="000D0FAB"/>
    <w:rsid w:val="000D1B25"/>
    <w:rsid w:val="000D7A33"/>
    <w:rsid w:val="000E0F78"/>
    <w:rsid w:val="000E631B"/>
    <w:rsid w:val="000F032A"/>
    <w:rsid w:val="000F094C"/>
    <w:rsid w:val="000F2CFA"/>
    <w:rsid w:val="00100301"/>
    <w:rsid w:val="00110CC7"/>
    <w:rsid w:val="001246AF"/>
    <w:rsid w:val="00127226"/>
    <w:rsid w:val="00131253"/>
    <w:rsid w:val="00131480"/>
    <w:rsid w:val="001353E8"/>
    <w:rsid w:val="001404C0"/>
    <w:rsid w:val="0017135C"/>
    <w:rsid w:val="00175CD4"/>
    <w:rsid w:val="00182F70"/>
    <w:rsid w:val="00185777"/>
    <w:rsid w:val="001869E0"/>
    <w:rsid w:val="00196563"/>
    <w:rsid w:val="001966B2"/>
    <w:rsid w:val="001A009B"/>
    <w:rsid w:val="001A2CFD"/>
    <w:rsid w:val="001A4A77"/>
    <w:rsid w:val="001A6E82"/>
    <w:rsid w:val="001B5A4F"/>
    <w:rsid w:val="001C6E08"/>
    <w:rsid w:val="001C7274"/>
    <w:rsid w:val="001D0E16"/>
    <w:rsid w:val="001D3624"/>
    <w:rsid w:val="001D5D5C"/>
    <w:rsid w:val="001E246E"/>
    <w:rsid w:val="001E507F"/>
    <w:rsid w:val="001E62E9"/>
    <w:rsid w:val="001F0F0D"/>
    <w:rsid w:val="001F43F4"/>
    <w:rsid w:val="00213729"/>
    <w:rsid w:val="00213EEF"/>
    <w:rsid w:val="002153A8"/>
    <w:rsid w:val="002331DF"/>
    <w:rsid w:val="0023347B"/>
    <w:rsid w:val="00233DB9"/>
    <w:rsid w:val="00235182"/>
    <w:rsid w:val="00235662"/>
    <w:rsid w:val="00235D8D"/>
    <w:rsid w:val="00241C56"/>
    <w:rsid w:val="00245136"/>
    <w:rsid w:val="00246299"/>
    <w:rsid w:val="0025277C"/>
    <w:rsid w:val="002638A2"/>
    <w:rsid w:val="00263B80"/>
    <w:rsid w:val="002641B6"/>
    <w:rsid w:val="00264493"/>
    <w:rsid w:val="00292E2C"/>
    <w:rsid w:val="002A00D7"/>
    <w:rsid w:val="002B07B6"/>
    <w:rsid w:val="002B1F13"/>
    <w:rsid w:val="002B24FD"/>
    <w:rsid w:val="002B54A0"/>
    <w:rsid w:val="002C14D3"/>
    <w:rsid w:val="002C2E22"/>
    <w:rsid w:val="002D51D8"/>
    <w:rsid w:val="002D59C3"/>
    <w:rsid w:val="002D6E38"/>
    <w:rsid w:val="002E146B"/>
    <w:rsid w:val="002F586D"/>
    <w:rsid w:val="002F7340"/>
    <w:rsid w:val="002F77FF"/>
    <w:rsid w:val="00314CC6"/>
    <w:rsid w:val="0031604C"/>
    <w:rsid w:val="003168FD"/>
    <w:rsid w:val="0033622B"/>
    <w:rsid w:val="003604EB"/>
    <w:rsid w:val="00364E91"/>
    <w:rsid w:val="00376D29"/>
    <w:rsid w:val="00382C2A"/>
    <w:rsid w:val="003B39B1"/>
    <w:rsid w:val="003C49E3"/>
    <w:rsid w:val="003C529B"/>
    <w:rsid w:val="003C61B5"/>
    <w:rsid w:val="003D7BD8"/>
    <w:rsid w:val="00402A05"/>
    <w:rsid w:val="00407A2D"/>
    <w:rsid w:val="00411A9C"/>
    <w:rsid w:val="0041341B"/>
    <w:rsid w:val="00416102"/>
    <w:rsid w:val="00421189"/>
    <w:rsid w:val="00424846"/>
    <w:rsid w:val="00426645"/>
    <w:rsid w:val="004326CC"/>
    <w:rsid w:val="00434093"/>
    <w:rsid w:val="00435BDE"/>
    <w:rsid w:val="00437317"/>
    <w:rsid w:val="00443128"/>
    <w:rsid w:val="00445118"/>
    <w:rsid w:val="004467AA"/>
    <w:rsid w:val="00447B39"/>
    <w:rsid w:val="004741CD"/>
    <w:rsid w:val="00492C21"/>
    <w:rsid w:val="004A75AF"/>
    <w:rsid w:val="004B4A72"/>
    <w:rsid w:val="004B6F23"/>
    <w:rsid w:val="004C0113"/>
    <w:rsid w:val="004C06E2"/>
    <w:rsid w:val="004C79CD"/>
    <w:rsid w:val="004D1B84"/>
    <w:rsid w:val="004D5219"/>
    <w:rsid w:val="004F18EA"/>
    <w:rsid w:val="004F314E"/>
    <w:rsid w:val="005039AF"/>
    <w:rsid w:val="005134D9"/>
    <w:rsid w:val="00533892"/>
    <w:rsid w:val="00535480"/>
    <w:rsid w:val="00537B8B"/>
    <w:rsid w:val="00547675"/>
    <w:rsid w:val="00563BE4"/>
    <w:rsid w:val="005666EA"/>
    <w:rsid w:val="0056743E"/>
    <w:rsid w:val="00570F80"/>
    <w:rsid w:val="00573505"/>
    <w:rsid w:val="005871D3"/>
    <w:rsid w:val="0059173B"/>
    <w:rsid w:val="005919F2"/>
    <w:rsid w:val="005959F9"/>
    <w:rsid w:val="005A2464"/>
    <w:rsid w:val="005A34D6"/>
    <w:rsid w:val="005C0B18"/>
    <w:rsid w:val="005C1195"/>
    <w:rsid w:val="005C23AB"/>
    <w:rsid w:val="005C37A8"/>
    <w:rsid w:val="005C4DB5"/>
    <w:rsid w:val="005E4B4A"/>
    <w:rsid w:val="005F0B20"/>
    <w:rsid w:val="005F1C33"/>
    <w:rsid w:val="005F4A2D"/>
    <w:rsid w:val="00603BCB"/>
    <w:rsid w:val="006062BE"/>
    <w:rsid w:val="00607488"/>
    <w:rsid w:val="006132F2"/>
    <w:rsid w:val="00616252"/>
    <w:rsid w:val="00625D03"/>
    <w:rsid w:val="006273DE"/>
    <w:rsid w:val="006339C3"/>
    <w:rsid w:val="0063795D"/>
    <w:rsid w:val="00643B86"/>
    <w:rsid w:val="00652B4F"/>
    <w:rsid w:val="00656EAD"/>
    <w:rsid w:val="00667805"/>
    <w:rsid w:val="00676D25"/>
    <w:rsid w:val="00691B35"/>
    <w:rsid w:val="00693962"/>
    <w:rsid w:val="00694425"/>
    <w:rsid w:val="006A076D"/>
    <w:rsid w:val="006C0D42"/>
    <w:rsid w:val="006C4D05"/>
    <w:rsid w:val="006D3F8F"/>
    <w:rsid w:val="006E3D13"/>
    <w:rsid w:val="006E7328"/>
    <w:rsid w:val="006E7834"/>
    <w:rsid w:val="006F54FB"/>
    <w:rsid w:val="00701F9B"/>
    <w:rsid w:val="007043A2"/>
    <w:rsid w:val="00704C4B"/>
    <w:rsid w:val="007112F4"/>
    <w:rsid w:val="00713E9F"/>
    <w:rsid w:val="0072061A"/>
    <w:rsid w:val="00726301"/>
    <w:rsid w:val="00730C16"/>
    <w:rsid w:val="0073578E"/>
    <w:rsid w:val="007363F1"/>
    <w:rsid w:val="007471FD"/>
    <w:rsid w:val="00757825"/>
    <w:rsid w:val="007615E2"/>
    <w:rsid w:val="00761BC1"/>
    <w:rsid w:val="007649AB"/>
    <w:rsid w:val="00765423"/>
    <w:rsid w:val="007801AC"/>
    <w:rsid w:val="007949C1"/>
    <w:rsid w:val="007A0E9F"/>
    <w:rsid w:val="007A2C01"/>
    <w:rsid w:val="007A358E"/>
    <w:rsid w:val="007A660E"/>
    <w:rsid w:val="007B59E0"/>
    <w:rsid w:val="007D2815"/>
    <w:rsid w:val="007F5C6C"/>
    <w:rsid w:val="007F7AB6"/>
    <w:rsid w:val="0080152B"/>
    <w:rsid w:val="00812FF8"/>
    <w:rsid w:val="00835B02"/>
    <w:rsid w:val="00837D35"/>
    <w:rsid w:val="00837E63"/>
    <w:rsid w:val="00847D06"/>
    <w:rsid w:val="0085101F"/>
    <w:rsid w:val="0086052C"/>
    <w:rsid w:val="00861BCD"/>
    <w:rsid w:val="00871235"/>
    <w:rsid w:val="00872710"/>
    <w:rsid w:val="00873BE9"/>
    <w:rsid w:val="00875FCE"/>
    <w:rsid w:val="00884DD2"/>
    <w:rsid w:val="0088590C"/>
    <w:rsid w:val="00890291"/>
    <w:rsid w:val="0089409D"/>
    <w:rsid w:val="008952C3"/>
    <w:rsid w:val="00895EF1"/>
    <w:rsid w:val="008A02CA"/>
    <w:rsid w:val="008A0BEB"/>
    <w:rsid w:val="008A2118"/>
    <w:rsid w:val="008D5073"/>
    <w:rsid w:val="008D72C6"/>
    <w:rsid w:val="008E13D1"/>
    <w:rsid w:val="008E4990"/>
    <w:rsid w:val="008E4AFD"/>
    <w:rsid w:val="008E7804"/>
    <w:rsid w:val="008F10CE"/>
    <w:rsid w:val="00900E9F"/>
    <w:rsid w:val="0090385B"/>
    <w:rsid w:val="009052C7"/>
    <w:rsid w:val="00914121"/>
    <w:rsid w:val="0091451B"/>
    <w:rsid w:val="00914D71"/>
    <w:rsid w:val="00921EEF"/>
    <w:rsid w:val="00926A3A"/>
    <w:rsid w:val="0092719A"/>
    <w:rsid w:val="009319FE"/>
    <w:rsid w:val="00936B34"/>
    <w:rsid w:val="00942177"/>
    <w:rsid w:val="009439E6"/>
    <w:rsid w:val="00945CE3"/>
    <w:rsid w:val="00970B5F"/>
    <w:rsid w:val="00973A2D"/>
    <w:rsid w:val="009835E0"/>
    <w:rsid w:val="00984B48"/>
    <w:rsid w:val="0098510E"/>
    <w:rsid w:val="00986924"/>
    <w:rsid w:val="00992334"/>
    <w:rsid w:val="009A2161"/>
    <w:rsid w:val="009A25CF"/>
    <w:rsid w:val="009B6081"/>
    <w:rsid w:val="009B66D3"/>
    <w:rsid w:val="009C34ED"/>
    <w:rsid w:val="009D558A"/>
    <w:rsid w:val="009E2FF8"/>
    <w:rsid w:val="009E4D47"/>
    <w:rsid w:val="009E7C30"/>
    <w:rsid w:val="009F618E"/>
    <w:rsid w:val="00A02BD2"/>
    <w:rsid w:val="00A1753A"/>
    <w:rsid w:val="00A21ACA"/>
    <w:rsid w:val="00A30F42"/>
    <w:rsid w:val="00A63E79"/>
    <w:rsid w:val="00A63F77"/>
    <w:rsid w:val="00A66156"/>
    <w:rsid w:val="00A67E15"/>
    <w:rsid w:val="00A71834"/>
    <w:rsid w:val="00A910CD"/>
    <w:rsid w:val="00AB2292"/>
    <w:rsid w:val="00AC625D"/>
    <w:rsid w:val="00AC7E19"/>
    <w:rsid w:val="00AF11D1"/>
    <w:rsid w:val="00AF3613"/>
    <w:rsid w:val="00B011FF"/>
    <w:rsid w:val="00B10BBB"/>
    <w:rsid w:val="00B14C04"/>
    <w:rsid w:val="00B20B1F"/>
    <w:rsid w:val="00B32248"/>
    <w:rsid w:val="00B40460"/>
    <w:rsid w:val="00B44586"/>
    <w:rsid w:val="00B5180E"/>
    <w:rsid w:val="00B53DB3"/>
    <w:rsid w:val="00B55D19"/>
    <w:rsid w:val="00B61461"/>
    <w:rsid w:val="00B70128"/>
    <w:rsid w:val="00B747C0"/>
    <w:rsid w:val="00B769FD"/>
    <w:rsid w:val="00B80321"/>
    <w:rsid w:val="00B85EE3"/>
    <w:rsid w:val="00B912A6"/>
    <w:rsid w:val="00B96AC0"/>
    <w:rsid w:val="00BA2C48"/>
    <w:rsid w:val="00BA3BE3"/>
    <w:rsid w:val="00BB305C"/>
    <w:rsid w:val="00BB72F1"/>
    <w:rsid w:val="00BB790F"/>
    <w:rsid w:val="00BC34C9"/>
    <w:rsid w:val="00BC34D1"/>
    <w:rsid w:val="00BC36F5"/>
    <w:rsid w:val="00BC57C2"/>
    <w:rsid w:val="00BC5D04"/>
    <w:rsid w:val="00BC7B92"/>
    <w:rsid w:val="00BD441C"/>
    <w:rsid w:val="00BD6A36"/>
    <w:rsid w:val="00BD7435"/>
    <w:rsid w:val="00BD7EC5"/>
    <w:rsid w:val="00BE3A0A"/>
    <w:rsid w:val="00C05981"/>
    <w:rsid w:val="00C077FC"/>
    <w:rsid w:val="00C208A5"/>
    <w:rsid w:val="00C2736E"/>
    <w:rsid w:val="00C37126"/>
    <w:rsid w:val="00C45C5A"/>
    <w:rsid w:val="00C46C30"/>
    <w:rsid w:val="00C565FD"/>
    <w:rsid w:val="00C6403C"/>
    <w:rsid w:val="00C666F9"/>
    <w:rsid w:val="00C67725"/>
    <w:rsid w:val="00C70383"/>
    <w:rsid w:val="00C7114F"/>
    <w:rsid w:val="00C7716B"/>
    <w:rsid w:val="00C77651"/>
    <w:rsid w:val="00C8177B"/>
    <w:rsid w:val="00C8497C"/>
    <w:rsid w:val="00C965EE"/>
    <w:rsid w:val="00CA61E0"/>
    <w:rsid w:val="00CB00F5"/>
    <w:rsid w:val="00CB2AC2"/>
    <w:rsid w:val="00CB707D"/>
    <w:rsid w:val="00CC7A04"/>
    <w:rsid w:val="00CF0375"/>
    <w:rsid w:val="00CF1A74"/>
    <w:rsid w:val="00CF26BE"/>
    <w:rsid w:val="00CF37AE"/>
    <w:rsid w:val="00D010D3"/>
    <w:rsid w:val="00D051BC"/>
    <w:rsid w:val="00D05C72"/>
    <w:rsid w:val="00D1560E"/>
    <w:rsid w:val="00D208D1"/>
    <w:rsid w:val="00D27F96"/>
    <w:rsid w:val="00D35F33"/>
    <w:rsid w:val="00D37368"/>
    <w:rsid w:val="00D47FDF"/>
    <w:rsid w:val="00D52BDE"/>
    <w:rsid w:val="00D5640E"/>
    <w:rsid w:val="00D65C03"/>
    <w:rsid w:val="00D674B8"/>
    <w:rsid w:val="00D726B0"/>
    <w:rsid w:val="00D8457F"/>
    <w:rsid w:val="00D8463B"/>
    <w:rsid w:val="00D873DB"/>
    <w:rsid w:val="00DA31A2"/>
    <w:rsid w:val="00DA6E2B"/>
    <w:rsid w:val="00DB12D7"/>
    <w:rsid w:val="00DB5C34"/>
    <w:rsid w:val="00DC1C88"/>
    <w:rsid w:val="00DC2347"/>
    <w:rsid w:val="00DD5E2B"/>
    <w:rsid w:val="00DD6034"/>
    <w:rsid w:val="00DD628C"/>
    <w:rsid w:val="00DE7CFB"/>
    <w:rsid w:val="00DF1D1F"/>
    <w:rsid w:val="00DF4B8B"/>
    <w:rsid w:val="00E00469"/>
    <w:rsid w:val="00E07EF2"/>
    <w:rsid w:val="00E11AE3"/>
    <w:rsid w:val="00E136CA"/>
    <w:rsid w:val="00E1457C"/>
    <w:rsid w:val="00E2024F"/>
    <w:rsid w:val="00E22B24"/>
    <w:rsid w:val="00E243C6"/>
    <w:rsid w:val="00E2653A"/>
    <w:rsid w:val="00E30364"/>
    <w:rsid w:val="00E34813"/>
    <w:rsid w:val="00E368D4"/>
    <w:rsid w:val="00E424B9"/>
    <w:rsid w:val="00E45FFA"/>
    <w:rsid w:val="00E505CE"/>
    <w:rsid w:val="00E53BDC"/>
    <w:rsid w:val="00E656F7"/>
    <w:rsid w:val="00E67E68"/>
    <w:rsid w:val="00E70605"/>
    <w:rsid w:val="00E76EAA"/>
    <w:rsid w:val="00E77631"/>
    <w:rsid w:val="00E77FC8"/>
    <w:rsid w:val="00E81F60"/>
    <w:rsid w:val="00E87FCB"/>
    <w:rsid w:val="00E94FB3"/>
    <w:rsid w:val="00EC473A"/>
    <w:rsid w:val="00EC7457"/>
    <w:rsid w:val="00ED0293"/>
    <w:rsid w:val="00ED0552"/>
    <w:rsid w:val="00ED0673"/>
    <w:rsid w:val="00ED6C06"/>
    <w:rsid w:val="00EE3B45"/>
    <w:rsid w:val="00EF51B5"/>
    <w:rsid w:val="00F17C4B"/>
    <w:rsid w:val="00F36920"/>
    <w:rsid w:val="00F37863"/>
    <w:rsid w:val="00F40825"/>
    <w:rsid w:val="00F50AA9"/>
    <w:rsid w:val="00F5312A"/>
    <w:rsid w:val="00F53C56"/>
    <w:rsid w:val="00F56C1C"/>
    <w:rsid w:val="00F62A50"/>
    <w:rsid w:val="00F63382"/>
    <w:rsid w:val="00F92806"/>
    <w:rsid w:val="00F966BB"/>
    <w:rsid w:val="00FA29D6"/>
    <w:rsid w:val="00FA5D6F"/>
    <w:rsid w:val="00FC5B8A"/>
    <w:rsid w:val="00FC7833"/>
    <w:rsid w:val="00FE43B8"/>
    <w:rsid w:val="00FF3F5C"/>
    <w:rsid w:val="00FF7E97"/>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paragraph" w:customStyle="1" w:styleId="Arrowbullets">
    <w:name w:val="Arrow bullets"/>
    <w:basedOn w:val="Normal"/>
    <w:qFormat/>
    <w:rsid w:val="000909C2"/>
    <w:pPr>
      <w:numPr>
        <w:numId w:val="15"/>
      </w:numPr>
      <w:spacing w:after="60" w:line="276" w:lineRule="auto"/>
      <w:contextualSpacing/>
    </w:pPr>
    <w:rPr>
      <w:rFonts w:ascii="Arial" w:hAnsi="Arial" w:cs="Arial"/>
      <w:b/>
      <w:color w:val="4F4F4F"/>
      <w:szCs w:val="18"/>
    </w:rPr>
  </w:style>
  <w:style w:type="paragraph" w:styleId="Revision">
    <w:name w:val="Revision"/>
    <w:hidden/>
    <w:uiPriority w:val="99"/>
    <w:semiHidden/>
    <w:rsid w:val="00652B4F"/>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86281C-FF8F-4CCB-B5A4-48644B3D5E94}" type="doc">
      <dgm:prSet loTypeId="urn:microsoft.com/office/officeart/2005/8/layout/cycle4" loCatId="cycle" qsTypeId="urn:microsoft.com/office/officeart/2005/8/quickstyle/simple5" qsCatId="simple" csTypeId="urn:microsoft.com/office/officeart/2005/8/colors/colorful1" csCatId="colorful" phldr="1"/>
      <dgm:spPr/>
      <dgm:t>
        <a:bodyPr/>
        <a:lstStyle/>
        <a:p>
          <a:endParaRPr lang="en-AU"/>
        </a:p>
      </dgm:t>
    </dgm:pt>
    <dgm:pt modelId="{768F9CAF-90F7-40DC-AA70-B5EA56597BB7}">
      <dgm:prSet phldrT="[Text]"/>
      <dgm:spPr>
        <a:xfrm>
          <a:off x="1335534" y="183920"/>
          <a:ext cx="1185056" cy="1185056"/>
        </a:xfrm>
        <a:prstGeom prst="pieWedge">
          <a:avLst/>
        </a:prstGeom>
        <a:solidFill>
          <a:srgbClr val="E9994A"/>
        </a:solidFill>
        <a:ln>
          <a:solidFill>
            <a:srgbClr val="E9994A"/>
          </a:solidFill>
        </a:ln>
        <a:effectLst>
          <a:outerShdw blurRad="57150" dist="19050" dir="5400000" algn="ctr" rotWithShape="0">
            <a:srgbClr val="000000">
              <a:alpha val="63000"/>
            </a:srgbClr>
          </a:outerShdw>
        </a:effectLst>
      </dgm:spPr>
      <dgm:t>
        <a:bodyPr/>
        <a:lstStyle/>
        <a:p>
          <a:pPr>
            <a:buNone/>
          </a:pPr>
          <a:r>
            <a:rPr lang="en-AU" b="1">
              <a:solidFill>
                <a:srgbClr val="FFFFFF"/>
              </a:solidFill>
              <a:latin typeface="Century Gothic"/>
              <a:ea typeface="+mn-ea"/>
              <a:cs typeface="+mn-cs"/>
            </a:rPr>
            <a:t>Adjust</a:t>
          </a:r>
        </a:p>
      </dgm:t>
    </dgm:pt>
    <dgm:pt modelId="{5F68819E-86C3-467D-99E1-1706FE65C1D8}" type="parTrans" cxnId="{2F46E8C8-6770-446C-9FA0-79F71934DDD1}">
      <dgm:prSet/>
      <dgm:spPr/>
      <dgm:t>
        <a:bodyPr/>
        <a:lstStyle/>
        <a:p>
          <a:endParaRPr lang="en-AU"/>
        </a:p>
      </dgm:t>
    </dgm:pt>
    <dgm:pt modelId="{79CE4927-960F-492A-AF55-51531EEAE170}" type="sibTrans" cxnId="{2F46E8C8-6770-446C-9FA0-79F71934DDD1}">
      <dgm:prSet/>
      <dgm:spPr/>
      <dgm:t>
        <a:bodyPr/>
        <a:lstStyle/>
        <a:p>
          <a:endParaRPr lang="en-AU"/>
        </a:p>
      </dgm:t>
    </dgm:pt>
    <dgm:pt modelId="{E5575815-0C2A-40D3-A8B3-B5CF9757C6A6}">
      <dgm:prSet phldrT="[Text]"/>
      <dgm:spPr>
        <a:xfrm>
          <a:off x="782955" y="0"/>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E9994A"/>
          </a:solidFill>
          <a:prstDash val="solid"/>
          <a:miter lim="800000"/>
        </a:ln>
        <a:effectLst/>
      </dgm:spPr>
      <dgm:t>
        <a:bodyPr/>
        <a:lstStyle/>
        <a:p>
          <a:pPr>
            <a:buChar char="•"/>
          </a:pPr>
          <a:r>
            <a:rPr lang="en-AU">
              <a:solidFill>
                <a:srgbClr val="4D4F53">
                  <a:hueOff val="0"/>
                  <a:satOff val="0"/>
                  <a:lumOff val="0"/>
                  <a:alphaOff val="0"/>
                </a:srgbClr>
              </a:solidFill>
              <a:latin typeface="Century Gothic"/>
              <a:ea typeface="+mn-ea"/>
              <a:cs typeface="+mn-cs"/>
            </a:rPr>
            <a:t>Objectives - what we are trying to achieve</a:t>
          </a:r>
        </a:p>
      </dgm:t>
    </dgm:pt>
    <dgm:pt modelId="{10F4849C-106B-4237-872E-6C716AA16636}" type="parTrans" cxnId="{952AB5B6-3BD4-4C4F-BBF8-B269EB3F6FA1}">
      <dgm:prSet/>
      <dgm:spPr/>
      <dgm:t>
        <a:bodyPr/>
        <a:lstStyle/>
        <a:p>
          <a:endParaRPr lang="en-AU"/>
        </a:p>
      </dgm:t>
    </dgm:pt>
    <dgm:pt modelId="{D2728C2E-B24D-48CB-97F9-FF5389E3DAEE}" type="sibTrans" cxnId="{952AB5B6-3BD4-4C4F-BBF8-B269EB3F6FA1}">
      <dgm:prSet/>
      <dgm:spPr/>
      <dgm:t>
        <a:bodyPr/>
        <a:lstStyle/>
        <a:p>
          <a:endParaRPr lang="en-AU"/>
        </a:p>
      </dgm:t>
    </dgm:pt>
    <dgm:pt modelId="{616FBC70-F9FE-44BC-8C24-941B93427FAD}">
      <dgm:prSet phldrT="[Text]"/>
      <dgm:spPr>
        <a:xfrm rot="5400000">
          <a:off x="2589276" y="156000"/>
          <a:ext cx="1185056" cy="1185056"/>
        </a:xfrm>
        <a:prstGeom prst="pieWedge">
          <a:avLst/>
        </a:prstGeom>
        <a:solidFill>
          <a:srgbClr val="D688B8"/>
        </a:solidFill>
        <a:ln>
          <a:solidFill>
            <a:srgbClr val="D688B8"/>
          </a:solidFill>
        </a:ln>
        <a:effectLst>
          <a:outerShdw blurRad="57150" dist="19050" dir="5400000" algn="ctr" rotWithShape="0">
            <a:srgbClr val="000000">
              <a:alpha val="63000"/>
            </a:srgbClr>
          </a:outerShdw>
        </a:effectLst>
      </dgm:spPr>
      <dgm:t>
        <a:bodyPr/>
        <a:lstStyle/>
        <a:p>
          <a:pPr>
            <a:buNone/>
          </a:pPr>
          <a:r>
            <a:rPr lang="en-AU" b="1">
              <a:solidFill>
                <a:srgbClr val="FFFFFF"/>
              </a:solidFill>
              <a:latin typeface="Century Gothic"/>
              <a:ea typeface="+mn-ea"/>
              <a:cs typeface="+mn-cs"/>
            </a:rPr>
            <a:t>Plan</a:t>
          </a:r>
        </a:p>
      </dgm:t>
    </dgm:pt>
    <dgm:pt modelId="{C85F4966-6E4E-4D8C-819C-4DC1C320DA67}" type="parTrans" cxnId="{DF6FA51A-A8A8-463A-80FE-0D6D51C50088}">
      <dgm:prSet/>
      <dgm:spPr/>
      <dgm:t>
        <a:bodyPr/>
        <a:lstStyle/>
        <a:p>
          <a:endParaRPr lang="en-AU"/>
        </a:p>
      </dgm:t>
    </dgm:pt>
    <dgm:pt modelId="{BE8AEE65-E0A2-46CE-80F9-941FF773E539}" type="sibTrans" cxnId="{DF6FA51A-A8A8-463A-80FE-0D6D51C50088}">
      <dgm:prSet/>
      <dgm:spPr/>
      <dgm:t>
        <a:bodyPr/>
        <a:lstStyle/>
        <a:p>
          <a:endParaRPr lang="en-AU"/>
        </a:p>
      </dgm:t>
    </dgm:pt>
    <dgm:pt modelId="{F5336B7F-1B99-4ACB-8249-C8170B4F56E1}">
      <dgm:prSet phldrT="[Text]"/>
      <dgm:spPr>
        <a:xfrm>
          <a:off x="2988856" y="0"/>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D688B8"/>
          </a:solidFill>
          <a:prstDash val="solid"/>
          <a:miter lim="800000"/>
        </a:ln>
        <a:effectLst/>
      </dgm:spPr>
      <dgm:t>
        <a:bodyPr/>
        <a:lstStyle/>
        <a:p>
          <a:pPr>
            <a:buChar char="•"/>
          </a:pPr>
          <a:r>
            <a:rPr lang="en-AU">
              <a:solidFill>
                <a:srgbClr val="4D4F53">
                  <a:hueOff val="0"/>
                  <a:satOff val="0"/>
                  <a:lumOff val="0"/>
                  <a:alphaOff val="0"/>
                </a:srgbClr>
              </a:solidFill>
              <a:latin typeface="Century Gothic"/>
              <a:ea typeface="+mn-ea"/>
              <a:cs typeface="+mn-cs"/>
            </a:rPr>
            <a:t>Risks - what can stop us achieving our objectives</a:t>
          </a:r>
        </a:p>
      </dgm:t>
    </dgm:pt>
    <dgm:pt modelId="{8B1A30C9-790B-42E6-8E5F-C8E510DCABB6}" type="parTrans" cxnId="{2DF2917E-1B7C-4D78-80D0-C90C2EF92C54}">
      <dgm:prSet/>
      <dgm:spPr/>
      <dgm:t>
        <a:bodyPr/>
        <a:lstStyle/>
        <a:p>
          <a:endParaRPr lang="en-AU"/>
        </a:p>
      </dgm:t>
    </dgm:pt>
    <dgm:pt modelId="{C7BA702C-A988-4E54-AFE6-A68BC3DB9C0D}" type="sibTrans" cxnId="{2DF2917E-1B7C-4D78-80D0-C90C2EF92C54}">
      <dgm:prSet/>
      <dgm:spPr/>
      <dgm:t>
        <a:bodyPr/>
        <a:lstStyle/>
        <a:p>
          <a:endParaRPr lang="en-AU"/>
        </a:p>
      </dgm:t>
    </dgm:pt>
    <dgm:pt modelId="{804A34EF-914A-401A-B2C0-D9D52B43ED26}">
      <dgm:prSet phldrT="[Text]"/>
      <dgm:spPr>
        <a:xfrm rot="10800000">
          <a:off x="2589276" y="1395793"/>
          <a:ext cx="1185056" cy="1185056"/>
        </a:xfrm>
        <a:prstGeom prst="pieWedge">
          <a:avLst/>
        </a:prstGeom>
        <a:solidFill>
          <a:srgbClr val="7030A0"/>
        </a:solidFill>
        <a:ln>
          <a:solidFill>
            <a:srgbClr val="7030A0"/>
          </a:solidFill>
        </a:ln>
        <a:effectLst>
          <a:outerShdw blurRad="57150" dist="19050" dir="5400000" algn="ctr" rotWithShape="0">
            <a:srgbClr val="000000">
              <a:alpha val="63000"/>
            </a:srgbClr>
          </a:outerShdw>
        </a:effectLst>
      </dgm:spPr>
      <dgm:t>
        <a:bodyPr/>
        <a:lstStyle/>
        <a:p>
          <a:pPr>
            <a:buNone/>
          </a:pPr>
          <a:r>
            <a:rPr lang="en-AU" b="1">
              <a:solidFill>
                <a:srgbClr val="FFFFFF"/>
              </a:solidFill>
              <a:latin typeface="Century Gothic"/>
              <a:ea typeface="+mn-ea"/>
              <a:cs typeface="+mn-cs"/>
            </a:rPr>
            <a:t>Do</a:t>
          </a:r>
        </a:p>
      </dgm:t>
    </dgm:pt>
    <dgm:pt modelId="{EDEB0EC3-CB46-4E02-859D-D3CF304E9FA8}" type="parTrans" cxnId="{3B7AE190-8E00-474B-8782-8EFEEFC24949}">
      <dgm:prSet/>
      <dgm:spPr/>
      <dgm:t>
        <a:bodyPr/>
        <a:lstStyle/>
        <a:p>
          <a:endParaRPr lang="en-AU"/>
        </a:p>
      </dgm:t>
    </dgm:pt>
    <dgm:pt modelId="{3AC3AACB-D86D-4EDA-942F-995C4711E3D2}" type="sibTrans" cxnId="{3B7AE190-8E00-474B-8782-8EFEEFC24949}">
      <dgm:prSet/>
      <dgm:spPr/>
      <dgm:t>
        <a:bodyPr/>
        <a:lstStyle/>
        <a:p>
          <a:endParaRPr lang="en-AU"/>
        </a:p>
      </dgm:t>
    </dgm:pt>
    <dgm:pt modelId="{3AFBFFDC-7EB8-4736-BE1A-C4389C570D43}">
      <dgm:prSet phldrT="[Text]"/>
      <dgm:spPr>
        <a:xfrm>
          <a:off x="2988856" y="1861057"/>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7030A0"/>
          </a:solidFill>
          <a:prstDash val="solid"/>
          <a:miter lim="800000"/>
        </a:ln>
        <a:effectLst/>
      </dgm:spPr>
      <dgm:t>
        <a:bodyPr/>
        <a:lstStyle/>
        <a:p>
          <a:pPr>
            <a:buChar char="•"/>
          </a:pPr>
          <a:r>
            <a:rPr lang="en-AU">
              <a:solidFill>
                <a:srgbClr val="4D4F53">
                  <a:hueOff val="0"/>
                  <a:satOff val="0"/>
                  <a:lumOff val="0"/>
                  <a:alphaOff val="0"/>
                </a:srgbClr>
              </a:solidFill>
              <a:latin typeface="Century Gothic"/>
              <a:ea typeface="+mn-ea"/>
              <a:cs typeface="+mn-cs"/>
            </a:rPr>
            <a:t>Controls - how we manage the risks</a:t>
          </a:r>
        </a:p>
      </dgm:t>
    </dgm:pt>
    <dgm:pt modelId="{FAA2D81A-8577-48A1-B5C1-E7DCFB26AB6C}" type="parTrans" cxnId="{5CC3CCEA-BB83-4510-A226-E55330B84B90}">
      <dgm:prSet/>
      <dgm:spPr/>
      <dgm:t>
        <a:bodyPr/>
        <a:lstStyle/>
        <a:p>
          <a:endParaRPr lang="en-AU"/>
        </a:p>
      </dgm:t>
    </dgm:pt>
    <dgm:pt modelId="{1A667E8B-B39A-45D4-A3B9-F036990D3591}" type="sibTrans" cxnId="{5CC3CCEA-BB83-4510-A226-E55330B84B90}">
      <dgm:prSet/>
      <dgm:spPr/>
      <dgm:t>
        <a:bodyPr/>
        <a:lstStyle/>
        <a:p>
          <a:endParaRPr lang="en-AU"/>
        </a:p>
      </dgm:t>
    </dgm:pt>
    <dgm:pt modelId="{7C5EAA6D-1DC2-46A9-800F-763DAE77715B}">
      <dgm:prSet phldrT="[Text]"/>
      <dgm:spPr>
        <a:xfrm rot="16200000">
          <a:off x="1349482" y="1395793"/>
          <a:ext cx="1185056" cy="1185056"/>
        </a:xfrm>
        <a:prstGeom prst="pieWedge">
          <a:avLst/>
        </a:prstGeom>
        <a:solidFill>
          <a:srgbClr val="0070C0"/>
        </a:solidFill>
        <a:ln>
          <a:solidFill>
            <a:srgbClr val="0070C0"/>
          </a:solidFill>
        </a:ln>
        <a:effectLst>
          <a:outerShdw blurRad="57150" dist="19050" dir="5400000" algn="ctr" rotWithShape="0">
            <a:srgbClr val="000000">
              <a:alpha val="63000"/>
            </a:srgbClr>
          </a:outerShdw>
        </a:effectLst>
      </dgm:spPr>
      <dgm:t>
        <a:bodyPr/>
        <a:lstStyle/>
        <a:p>
          <a:pPr>
            <a:buNone/>
          </a:pPr>
          <a:r>
            <a:rPr lang="en-AU" b="1">
              <a:solidFill>
                <a:srgbClr val="FFFFFF"/>
              </a:solidFill>
              <a:latin typeface="Century Gothic"/>
              <a:ea typeface="+mn-ea"/>
              <a:cs typeface="+mn-cs"/>
            </a:rPr>
            <a:t>Check</a:t>
          </a:r>
        </a:p>
      </dgm:t>
    </dgm:pt>
    <dgm:pt modelId="{5DDC7374-1FFD-4B53-A4C1-7E6BB8BC7453}" type="parTrans" cxnId="{1799EA03-5434-4411-B4D0-0B2B6DD72986}">
      <dgm:prSet/>
      <dgm:spPr/>
      <dgm:t>
        <a:bodyPr/>
        <a:lstStyle/>
        <a:p>
          <a:endParaRPr lang="en-AU"/>
        </a:p>
      </dgm:t>
    </dgm:pt>
    <dgm:pt modelId="{47E8A4D1-6BCA-4489-9A75-DD949959CFED}" type="sibTrans" cxnId="{1799EA03-5434-4411-B4D0-0B2B6DD72986}">
      <dgm:prSet/>
      <dgm:spPr/>
      <dgm:t>
        <a:bodyPr/>
        <a:lstStyle/>
        <a:p>
          <a:endParaRPr lang="en-AU"/>
        </a:p>
      </dgm:t>
    </dgm:pt>
    <dgm:pt modelId="{9F599749-912D-4725-88EF-6BFB28C30C6C}">
      <dgm:prSet phldrT="[Text]"/>
      <dgm:spPr>
        <a:xfrm>
          <a:off x="782955" y="1861057"/>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0070C0"/>
          </a:solidFill>
          <a:prstDash val="solid"/>
          <a:miter lim="800000"/>
        </a:ln>
        <a:effectLst/>
      </dgm:spPr>
      <dgm:t>
        <a:bodyPr/>
        <a:lstStyle/>
        <a:p>
          <a:pPr>
            <a:buChar char="•"/>
          </a:pPr>
          <a:r>
            <a:rPr lang="en-AU">
              <a:solidFill>
                <a:srgbClr val="4D4F53">
                  <a:hueOff val="0"/>
                  <a:satOff val="0"/>
                  <a:lumOff val="0"/>
                  <a:alphaOff val="0"/>
                </a:srgbClr>
              </a:solidFill>
              <a:latin typeface="Century Gothic"/>
              <a:ea typeface="+mn-ea"/>
              <a:cs typeface="+mn-cs"/>
            </a:rPr>
            <a:t>Assurance - how we know the controls are working</a:t>
          </a:r>
        </a:p>
      </dgm:t>
    </dgm:pt>
    <dgm:pt modelId="{47FC2819-8B2A-422B-BD52-29BC0CE38DCA}" type="parTrans" cxnId="{A9D54171-0B17-4CBB-B814-884B6B719984}">
      <dgm:prSet/>
      <dgm:spPr/>
      <dgm:t>
        <a:bodyPr/>
        <a:lstStyle/>
        <a:p>
          <a:endParaRPr lang="en-AU"/>
        </a:p>
      </dgm:t>
    </dgm:pt>
    <dgm:pt modelId="{A2019510-F616-4B7D-AA2A-C5AFE90220B4}" type="sibTrans" cxnId="{A9D54171-0B17-4CBB-B814-884B6B719984}">
      <dgm:prSet/>
      <dgm:spPr/>
      <dgm:t>
        <a:bodyPr/>
        <a:lstStyle/>
        <a:p>
          <a:endParaRPr lang="en-AU"/>
        </a:p>
      </dgm:t>
    </dgm:pt>
    <dgm:pt modelId="{0E932FAA-B9AF-486F-B5E3-1F3B6F2AD56F}" type="pres">
      <dgm:prSet presAssocID="{FF86281C-FF8F-4CCB-B5A4-48644B3D5E94}" presName="cycleMatrixDiagram" presStyleCnt="0">
        <dgm:presLayoutVars>
          <dgm:chMax val="1"/>
          <dgm:dir/>
          <dgm:animLvl val="lvl"/>
          <dgm:resizeHandles val="exact"/>
        </dgm:presLayoutVars>
      </dgm:prSet>
      <dgm:spPr/>
    </dgm:pt>
    <dgm:pt modelId="{FA60886C-1583-4FCB-912D-9291D543819B}" type="pres">
      <dgm:prSet presAssocID="{FF86281C-FF8F-4CCB-B5A4-48644B3D5E94}" presName="children" presStyleCnt="0"/>
      <dgm:spPr/>
    </dgm:pt>
    <dgm:pt modelId="{C410356D-7E4E-48C6-A179-44ECF3811F74}" type="pres">
      <dgm:prSet presAssocID="{FF86281C-FF8F-4CCB-B5A4-48644B3D5E94}" presName="child1group" presStyleCnt="0"/>
      <dgm:spPr/>
    </dgm:pt>
    <dgm:pt modelId="{D1747E92-C113-4357-94A1-DDE9089D82F6}" type="pres">
      <dgm:prSet presAssocID="{FF86281C-FF8F-4CCB-B5A4-48644B3D5E94}" presName="child1" presStyleLbl="bgAcc1" presStyleIdx="0" presStyleCnt="4"/>
      <dgm:spPr/>
    </dgm:pt>
    <dgm:pt modelId="{C9C5F5E9-DDB1-470A-A59C-50866F006974}" type="pres">
      <dgm:prSet presAssocID="{FF86281C-FF8F-4CCB-B5A4-48644B3D5E94}" presName="child1Text" presStyleLbl="bgAcc1" presStyleIdx="0" presStyleCnt="4">
        <dgm:presLayoutVars>
          <dgm:bulletEnabled val="1"/>
        </dgm:presLayoutVars>
      </dgm:prSet>
      <dgm:spPr/>
    </dgm:pt>
    <dgm:pt modelId="{C756B99A-F9AD-4497-9252-B7B541687200}" type="pres">
      <dgm:prSet presAssocID="{FF86281C-FF8F-4CCB-B5A4-48644B3D5E94}" presName="child2group" presStyleCnt="0"/>
      <dgm:spPr/>
    </dgm:pt>
    <dgm:pt modelId="{98149404-010C-45BF-B8C3-9A9249C5A491}" type="pres">
      <dgm:prSet presAssocID="{FF86281C-FF8F-4CCB-B5A4-48644B3D5E94}" presName="child2" presStyleLbl="bgAcc1" presStyleIdx="1" presStyleCnt="4"/>
      <dgm:spPr/>
    </dgm:pt>
    <dgm:pt modelId="{32CAB20A-FD4C-4A85-AE79-7ABB8C2F4F19}" type="pres">
      <dgm:prSet presAssocID="{FF86281C-FF8F-4CCB-B5A4-48644B3D5E94}" presName="child2Text" presStyleLbl="bgAcc1" presStyleIdx="1" presStyleCnt="4">
        <dgm:presLayoutVars>
          <dgm:bulletEnabled val="1"/>
        </dgm:presLayoutVars>
      </dgm:prSet>
      <dgm:spPr/>
    </dgm:pt>
    <dgm:pt modelId="{A7815B03-FB23-438D-AF52-1DA94D77E287}" type="pres">
      <dgm:prSet presAssocID="{FF86281C-FF8F-4CCB-B5A4-48644B3D5E94}" presName="child3group" presStyleCnt="0"/>
      <dgm:spPr/>
    </dgm:pt>
    <dgm:pt modelId="{E298F13E-E42D-4C0B-A494-B5646174F353}" type="pres">
      <dgm:prSet presAssocID="{FF86281C-FF8F-4CCB-B5A4-48644B3D5E94}" presName="child3" presStyleLbl="bgAcc1" presStyleIdx="2" presStyleCnt="4"/>
      <dgm:spPr/>
    </dgm:pt>
    <dgm:pt modelId="{641D1D63-B5E7-4485-9D31-B2EDDBE8D4EC}" type="pres">
      <dgm:prSet presAssocID="{FF86281C-FF8F-4CCB-B5A4-48644B3D5E94}" presName="child3Text" presStyleLbl="bgAcc1" presStyleIdx="2" presStyleCnt="4">
        <dgm:presLayoutVars>
          <dgm:bulletEnabled val="1"/>
        </dgm:presLayoutVars>
      </dgm:prSet>
      <dgm:spPr/>
    </dgm:pt>
    <dgm:pt modelId="{CE1671CF-B0C9-42C3-A4AE-A760EA2CB086}" type="pres">
      <dgm:prSet presAssocID="{FF86281C-FF8F-4CCB-B5A4-48644B3D5E94}" presName="child4group" presStyleCnt="0"/>
      <dgm:spPr/>
    </dgm:pt>
    <dgm:pt modelId="{3FC61B7E-3774-4024-A7D4-B7995CA48A4F}" type="pres">
      <dgm:prSet presAssocID="{FF86281C-FF8F-4CCB-B5A4-48644B3D5E94}" presName="child4" presStyleLbl="bgAcc1" presStyleIdx="3" presStyleCnt="4"/>
      <dgm:spPr/>
    </dgm:pt>
    <dgm:pt modelId="{6CAB7658-A4C0-4FEF-A2CA-686EA8744429}" type="pres">
      <dgm:prSet presAssocID="{FF86281C-FF8F-4CCB-B5A4-48644B3D5E94}" presName="child4Text" presStyleLbl="bgAcc1" presStyleIdx="3" presStyleCnt="4">
        <dgm:presLayoutVars>
          <dgm:bulletEnabled val="1"/>
        </dgm:presLayoutVars>
      </dgm:prSet>
      <dgm:spPr/>
    </dgm:pt>
    <dgm:pt modelId="{B4DB9511-2C7C-4620-B750-5B9A7D646589}" type="pres">
      <dgm:prSet presAssocID="{FF86281C-FF8F-4CCB-B5A4-48644B3D5E94}" presName="childPlaceholder" presStyleCnt="0"/>
      <dgm:spPr/>
    </dgm:pt>
    <dgm:pt modelId="{79EFA8C1-56FF-4796-84D5-7FC6FA9F853C}" type="pres">
      <dgm:prSet presAssocID="{FF86281C-FF8F-4CCB-B5A4-48644B3D5E94}" presName="circle" presStyleCnt="0"/>
      <dgm:spPr/>
    </dgm:pt>
    <dgm:pt modelId="{3126F3C1-1343-4D2B-AF84-D796DBCC570D}" type="pres">
      <dgm:prSet presAssocID="{FF86281C-FF8F-4CCB-B5A4-48644B3D5E94}" presName="quadrant1" presStyleLbl="node1" presStyleIdx="0" presStyleCnt="4" custLinFactNeighborX="-1177" custLinFactNeighborY="2356">
        <dgm:presLayoutVars>
          <dgm:chMax val="1"/>
          <dgm:bulletEnabled val="1"/>
        </dgm:presLayoutVars>
      </dgm:prSet>
      <dgm:spPr/>
    </dgm:pt>
    <dgm:pt modelId="{7680EC92-A0D1-48F1-8EDE-1CE8ABA883E2}" type="pres">
      <dgm:prSet presAssocID="{FF86281C-FF8F-4CCB-B5A4-48644B3D5E94}" presName="quadrant2" presStyleLbl="node1" presStyleIdx="1" presStyleCnt="4">
        <dgm:presLayoutVars>
          <dgm:chMax val="1"/>
          <dgm:bulletEnabled val="1"/>
        </dgm:presLayoutVars>
      </dgm:prSet>
      <dgm:spPr/>
    </dgm:pt>
    <dgm:pt modelId="{EC1525B0-6E8C-4D6C-B28B-57232D0419FB}" type="pres">
      <dgm:prSet presAssocID="{FF86281C-FF8F-4CCB-B5A4-48644B3D5E94}" presName="quadrant3" presStyleLbl="node1" presStyleIdx="2" presStyleCnt="4">
        <dgm:presLayoutVars>
          <dgm:chMax val="1"/>
          <dgm:bulletEnabled val="1"/>
        </dgm:presLayoutVars>
      </dgm:prSet>
      <dgm:spPr/>
    </dgm:pt>
    <dgm:pt modelId="{2FA28619-BC96-4241-B7B2-1032972B4D54}" type="pres">
      <dgm:prSet presAssocID="{FF86281C-FF8F-4CCB-B5A4-48644B3D5E94}" presName="quadrant4" presStyleLbl="node1" presStyleIdx="3" presStyleCnt="4">
        <dgm:presLayoutVars>
          <dgm:chMax val="1"/>
          <dgm:bulletEnabled val="1"/>
        </dgm:presLayoutVars>
      </dgm:prSet>
      <dgm:spPr/>
    </dgm:pt>
    <dgm:pt modelId="{E0C11FCA-FE4A-4A69-9656-CAE846465D39}" type="pres">
      <dgm:prSet presAssocID="{FF86281C-FF8F-4CCB-B5A4-48644B3D5E94}" presName="quadrantPlaceholder" presStyleCnt="0"/>
      <dgm:spPr/>
    </dgm:pt>
    <dgm:pt modelId="{582FF0C0-18DF-404A-A010-6C64DCEEE53F}" type="pres">
      <dgm:prSet presAssocID="{FF86281C-FF8F-4CCB-B5A4-48644B3D5E94}" presName="center1" presStyleLbl="fgShp" presStyleIdx="0" presStyleCnt="2"/>
      <dgm:spPr>
        <a:xfrm>
          <a:off x="2357327" y="1122108"/>
          <a:ext cx="409159" cy="355790"/>
        </a:xfrm>
        <a:prstGeom prst="circularArrow">
          <a:avLst/>
        </a:prstGeom>
        <a:gradFill rotWithShape="0">
          <a:gsLst>
            <a:gs pos="0">
              <a:srgbClr val="AB8AB8">
                <a:tint val="40000"/>
                <a:hueOff val="0"/>
                <a:satOff val="0"/>
                <a:lumOff val="0"/>
                <a:alphaOff val="0"/>
                <a:satMod val="103000"/>
                <a:lumMod val="102000"/>
                <a:tint val="94000"/>
              </a:srgbClr>
            </a:gs>
            <a:gs pos="50000">
              <a:srgbClr val="AB8AB8">
                <a:tint val="40000"/>
                <a:hueOff val="0"/>
                <a:satOff val="0"/>
                <a:lumOff val="0"/>
                <a:alphaOff val="0"/>
                <a:satMod val="110000"/>
                <a:lumMod val="100000"/>
                <a:shade val="100000"/>
              </a:srgbClr>
            </a:gs>
            <a:gs pos="100000">
              <a:srgbClr val="AB8AB8">
                <a:tint val="4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6D3F55F1-F01E-43B5-B27B-19052F2086DB}" type="pres">
      <dgm:prSet presAssocID="{FF86281C-FF8F-4CCB-B5A4-48644B3D5E94}" presName="center2" presStyleLbl="fgShp" presStyleIdx="1" presStyleCnt="2"/>
      <dgm:spPr>
        <a:xfrm rot="10800000">
          <a:off x="2357327" y="1258951"/>
          <a:ext cx="409159" cy="355790"/>
        </a:xfrm>
        <a:prstGeom prst="circularArrow">
          <a:avLst/>
        </a:prstGeom>
        <a:gradFill rotWithShape="0">
          <a:gsLst>
            <a:gs pos="0">
              <a:srgbClr val="AB8AB8">
                <a:tint val="40000"/>
                <a:hueOff val="0"/>
                <a:satOff val="0"/>
                <a:lumOff val="0"/>
                <a:alphaOff val="0"/>
                <a:satMod val="103000"/>
                <a:lumMod val="102000"/>
                <a:tint val="94000"/>
              </a:srgbClr>
            </a:gs>
            <a:gs pos="50000">
              <a:srgbClr val="AB8AB8">
                <a:tint val="40000"/>
                <a:hueOff val="0"/>
                <a:satOff val="0"/>
                <a:lumOff val="0"/>
                <a:alphaOff val="0"/>
                <a:satMod val="110000"/>
                <a:lumMod val="100000"/>
                <a:shade val="100000"/>
              </a:srgbClr>
            </a:gs>
            <a:gs pos="100000">
              <a:srgbClr val="AB8AB8">
                <a:tint val="4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Lst>
  <dgm:cxnLst>
    <dgm:cxn modelId="{CFF0B801-217A-494F-88D9-FD199036D88E}" type="presOf" srcId="{7C5EAA6D-1DC2-46A9-800F-763DAE77715B}" destId="{2FA28619-BC96-4241-B7B2-1032972B4D54}" srcOrd="0" destOrd="0" presId="urn:microsoft.com/office/officeart/2005/8/layout/cycle4"/>
    <dgm:cxn modelId="{1799EA03-5434-4411-B4D0-0B2B6DD72986}" srcId="{FF86281C-FF8F-4CCB-B5A4-48644B3D5E94}" destId="{7C5EAA6D-1DC2-46A9-800F-763DAE77715B}" srcOrd="3" destOrd="0" parTransId="{5DDC7374-1FFD-4B53-A4C1-7E6BB8BC7453}" sibTransId="{47E8A4D1-6BCA-4489-9A75-DD949959CFED}"/>
    <dgm:cxn modelId="{DF6FA51A-A8A8-463A-80FE-0D6D51C50088}" srcId="{FF86281C-FF8F-4CCB-B5A4-48644B3D5E94}" destId="{616FBC70-F9FE-44BC-8C24-941B93427FAD}" srcOrd="1" destOrd="0" parTransId="{C85F4966-6E4E-4D8C-819C-4DC1C320DA67}" sibTransId="{BE8AEE65-E0A2-46CE-80F9-941FF773E539}"/>
    <dgm:cxn modelId="{3ED35C24-CD07-4A39-87F3-A881FCE53437}" type="presOf" srcId="{9F599749-912D-4725-88EF-6BFB28C30C6C}" destId="{3FC61B7E-3774-4024-A7D4-B7995CA48A4F}" srcOrd="0" destOrd="0" presId="urn:microsoft.com/office/officeart/2005/8/layout/cycle4"/>
    <dgm:cxn modelId="{7B878C28-5189-402F-A359-C22B4C04CEF2}" type="presOf" srcId="{616FBC70-F9FE-44BC-8C24-941B93427FAD}" destId="{7680EC92-A0D1-48F1-8EDE-1CE8ABA883E2}" srcOrd="0" destOrd="0" presId="urn:microsoft.com/office/officeart/2005/8/layout/cycle4"/>
    <dgm:cxn modelId="{9CA8D65F-AA98-415B-9BCC-D16787DE1533}" type="presOf" srcId="{768F9CAF-90F7-40DC-AA70-B5EA56597BB7}" destId="{3126F3C1-1343-4D2B-AF84-D796DBCC570D}" srcOrd="0" destOrd="0" presId="urn:microsoft.com/office/officeart/2005/8/layout/cycle4"/>
    <dgm:cxn modelId="{E7CDB94B-8340-4713-B462-5ED38BD5B82A}" type="presOf" srcId="{3AFBFFDC-7EB8-4736-BE1A-C4389C570D43}" destId="{E298F13E-E42D-4C0B-A494-B5646174F353}" srcOrd="0" destOrd="0" presId="urn:microsoft.com/office/officeart/2005/8/layout/cycle4"/>
    <dgm:cxn modelId="{A9D54171-0B17-4CBB-B814-884B6B719984}" srcId="{7C5EAA6D-1DC2-46A9-800F-763DAE77715B}" destId="{9F599749-912D-4725-88EF-6BFB28C30C6C}" srcOrd="0" destOrd="0" parTransId="{47FC2819-8B2A-422B-BD52-29BC0CE38DCA}" sibTransId="{A2019510-F616-4B7D-AA2A-C5AFE90220B4}"/>
    <dgm:cxn modelId="{891D3B78-03A7-40DC-B0CD-2985E123E8D4}" type="presOf" srcId="{F5336B7F-1B99-4ACB-8249-C8170B4F56E1}" destId="{32CAB20A-FD4C-4A85-AE79-7ABB8C2F4F19}" srcOrd="1" destOrd="0" presId="urn:microsoft.com/office/officeart/2005/8/layout/cycle4"/>
    <dgm:cxn modelId="{2DF2917E-1B7C-4D78-80D0-C90C2EF92C54}" srcId="{616FBC70-F9FE-44BC-8C24-941B93427FAD}" destId="{F5336B7F-1B99-4ACB-8249-C8170B4F56E1}" srcOrd="0" destOrd="0" parTransId="{8B1A30C9-790B-42E6-8E5F-C8E510DCABB6}" sibTransId="{C7BA702C-A988-4E54-AFE6-A68BC3DB9C0D}"/>
    <dgm:cxn modelId="{A3DD0C8C-01FA-4001-B1CB-5AD81F5D13E2}" type="presOf" srcId="{E5575815-0C2A-40D3-A8B3-B5CF9757C6A6}" destId="{C9C5F5E9-DDB1-470A-A59C-50866F006974}" srcOrd="1" destOrd="0" presId="urn:microsoft.com/office/officeart/2005/8/layout/cycle4"/>
    <dgm:cxn modelId="{3B7AE190-8E00-474B-8782-8EFEEFC24949}" srcId="{FF86281C-FF8F-4CCB-B5A4-48644B3D5E94}" destId="{804A34EF-914A-401A-B2C0-D9D52B43ED26}" srcOrd="2" destOrd="0" parTransId="{EDEB0EC3-CB46-4E02-859D-D3CF304E9FA8}" sibTransId="{3AC3AACB-D86D-4EDA-942F-995C4711E3D2}"/>
    <dgm:cxn modelId="{73624A98-D17F-486F-A2D9-6BBEF77461A9}" type="presOf" srcId="{FF86281C-FF8F-4CCB-B5A4-48644B3D5E94}" destId="{0E932FAA-B9AF-486F-B5E3-1F3B6F2AD56F}" srcOrd="0" destOrd="0" presId="urn:microsoft.com/office/officeart/2005/8/layout/cycle4"/>
    <dgm:cxn modelId="{397D3FAC-6D22-4F80-A4C0-95EF7A74E036}" type="presOf" srcId="{9F599749-912D-4725-88EF-6BFB28C30C6C}" destId="{6CAB7658-A4C0-4FEF-A2CA-686EA8744429}" srcOrd="1" destOrd="0" presId="urn:microsoft.com/office/officeart/2005/8/layout/cycle4"/>
    <dgm:cxn modelId="{A722C8B4-DC81-41AB-8610-DBC5F419857C}" type="presOf" srcId="{804A34EF-914A-401A-B2C0-D9D52B43ED26}" destId="{EC1525B0-6E8C-4D6C-B28B-57232D0419FB}" srcOrd="0" destOrd="0" presId="urn:microsoft.com/office/officeart/2005/8/layout/cycle4"/>
    <dgm:cxn modelId="{79A11CB6-9B3E-4613-86B1-9EEDEFD407BE}" type="presOf" srcId="{3AFBFFDC-7EB8-4736-BE1A-C4389C570D43}" destId="{641D1D63-B5E7-4485-9D31-B2EDDBE8D4EC}" srcOrd="1" destOrd="0" presId="urn:microsoft.com/office/officeart/2005/8/layout/cycle4"/>
    <dgm:cxn modelId="{952AB5B6-3BD4-4C4F-BBF8-B269EB3F6FA1}" srcId="{768F9CAF-90F7-40DC-AA70-B5EA56597BB7}" destId="{E5575815-0C2A-40D3-A8B3-B5CF9757C6A6}" srcOrd="0" destOrd="0" parTransId="{10F4849C-106B-4237-872E-6C716AA16636}" sibTransId="{D2728C2E-B24D-48CB-97F9-FF5389E3DAEE}"/>
    <dgm:cxn modelId="{2F46E8C8-6770-446C-9FA0-79F71934DDD1}" srcId="{FF86281C-FF8F-4CCB-B5A4-48644B3D5E94}" destId="{768F9CAF-90F7-40DC-AA70-B5EA56597BB7}" srcOrd="0" destOrd="0" parTransId="{5F68819E-86C3-467D-99E1-1706FE65C1D8}" sibTransId="{79CE4927-960F-492A-AF55-51531EEAE170}"/>
    <dgm:cxn modelId="{67A68BCE-FDE0-48B9-898C-D4A68F2C2B92}" type="presOf" srcId="{E5575815-0C2A-40D3-A8B3-B5CF9757C6A6}" destId="{D1747E92-C113-4357-94A1-DDE9089D82F6}" srcOrd="0" destOrd="0" presId="urn:microsoft.com/office/officeart/2005/8/layout/cycle4"/>
    <dgm:cxn modelId="{43495EE7-EC80-4700-B07B-BA59EAE4FC28}" type="presOf" srcId="{F5336B7F-1B99-4ACB-8249-C8170B4F56E1}" destId="{98149404-010C-45BF-B8C3-9A9249C5A491}" srcOrd="0" destOrd="0" presId="urn:microsoft.com/office/officeart/2005/8/layout/cycle4"/>
    <dgm:cxn modelId="{5CC3CCEA-BB83-4510-A226-E55330B84B90}" srcId="{804A34EF-914A-401A-B2C0-D9D52B43ED26}" destId="{3AFBFFDC-7EB8-4736-BE1A-C4389C570D43}" srcOrd="0" destOrd="0" parTransId="{FAA2D81A-8577-48A1-B5C1-E7DCFB26AB6C}" sibTransId="{1A667E8B-B39A-45D4-A3B9-F036990D3591}"/>
    <dgm:cxn modelId="{BD4DC353-FA75-4D4C-BBF7-6704B3FCB3F0}" type="presParOf" srcId="{0E932FAA-B9AF-486F-B5E3-1F3B6F2AD56F}" destId="{FA60886C-1583-4FCB-912D-9291D543819B}" srcOrd="0" destOrd="0" presId="urn:microsoft.com/office/officeart/2005/8/layout/cycle4"/>
    <dgm:cxn modelId="{B0D802A2-55F9-4398-9824-5FFAA12E9423}" type="presParOf" srcId="{FA60886C-1583-4FCB-912D-9291D543819B}" destId="{C410356D-7E4E-48C6-A179-44ECF3811F74}" srcOrd="0" destOrd="0" presId="urn:microsoft.com/office/officeart/2005/8/layout/cycle4"/>
    <dgm:cxn modelId="{E30B3A25-0F52-4C6A-A822-8C7FD7426A0D}" type="presParOf" srcId="{C410356D-7E4E-48C6-A179-44ECF3811F74}" destId="{D1747E92-C113-4357-94A1-DDE9089D82F6}" srcOrd="0" destOrd="0" presId="urn:microsoft.com/office/officeart/2005/8/layout/cycle4"/>
    <dgm:cxn modelId="{154FAB48-C6D9-401A-9FDA-3BAD2AD0428B}" type="presParOf" srcId="{C410356D-7E4E-48C6-A179-44ECF3811F74}" destId="{C9C5F5E9-DDB1-470A-A59C-50866F006974}" srcOrd="1" destOrd="0" presId="urn:microsoft.com/office/officeart/2005/8/layout/cycle4"/>
    <dgm:cxn modelId="{02E530E1-98BD-4DE9-9659-E6CE99C33172}" type="presParOf" srcId="{FA60886C-1583-4FCB-912D-9291D543819B}" destId="{C756B99A-F9AD-4497-9252-B7B541687200}" srcOrd="1" destOrd="0" presId="urn:microsoft.com/office/officeart/2005/8/layout/cycle4"/>
    <dgm:cxn modelId="{C8AFF3BB-12D7-4511-B495-47E904200153}" type="presParOf" srcId="{C756B99A-F9AD-4497-9252-B7B541687200}" destId="{98149404-010C-45BF-B8C3-9A9249C5A491}" srcOrd="0" destOrd="0" presId="urn:microsoft.com/office/officeart/2005/8/layout/cycle4"/>
    <dgm:cxn modelId="{4FB4E3F2-5EC8-43E7-A8E2-55D79FE66DFD}" type="presParOf" srcId="{C756B99A-F9AD-4497-9252-B7B541687200}" destId="{32CAB20A-FD4C-4A85-AE79-7ABB8C2F4F19}" srcOrd="1" destOrd="0" presId="urn:microsoft.com/office/officeart/2005/8/layout/cycle4"/>
    <dgm:cxn modelId="{3BF969E4-A054-425C-B724-38BFCCC10716}" type="presParOf" srcId="{FA60886C-1583-4FCB-912D-9291D543819B}" destId="{A7815B03-FB23-438D-AF52-1DA94D77E287}" srcOrd="2" destOrd="0" presId="urn:microsoft.com/office/officeart/2005/8/layout/cycle4"/>
    <dgm:cxn modelId="{B5DF680C-4139-453B-9592-B97C1E6E52D6}" type="presParOf" srcId="{A7815B03-FB23-438D-AF52-1DA94D77E287}" destId="{E298F13E-E42D-4C0B-A494-B5646174F353}" srcOrd="0" destOrd="0" presId="urn:microsoft.com/office/officeart/2005/8/layout/cycle4"/>
    <dgm:cxn modelId="{FC88EDB0-C5B1-40B8-A415-695C75CB9715}" type="presParOf" srcId="{A7815B03-FB23-438D-AF52-1DA94D77E287}" destId="{641D1D63-B5E7-4485-9D31-B2EDDBE8D4EC}" srcOrd="1" destOrd="0" presId="urn:microsoft.com/office/officeart/2005/8/layout/cycle4"/>
    <dgm:cxn modelId="{6F687ACF-CCBD-4E55-BA51-B5F032D8631B}" type="presParOf" srcId="{FA60886C-1583-4FCB-912D-9291D543819B}" destId="{CE1671CF-B0C9-42C3-A4AE-A760EA2CB086}" srcOrd="3" destOrd="0" presId="urn:microsoft.com/office/officeart/2005/8/layout/cycle4"/>
    <dgm:cxn modelId="{5D5F586E-9E68-46B0-BEBE-A9FE64E48AC1}" type="presParOf" srcId="{CE1671CF-B0C9-42C3-A4AE-A760EA2CB086}" destId="{3FC61B7E-3774-4024-A7D4-B7995CA48A4F}" srcOrd="0" destOrd="0" presId="urn:microsoft.com/office/officeart/2005/8/layout/cycle4"/>
    <dgm:cxn modelId="{80B8DB27-4E9A-422B-B361-0C7EAC94F4CD}" type="presParOf" srcId="{CE1671CF-B0C9-42C3-A4AE-A760EA2CB086}" destId="{6CAB7658-A4C0-4FEF-A2CA-686EA8744429}" srcOrd="1" destOrd="0" presId="urn:microsoft.com/office/officeart/2005/8/layout/cycle4"/>
    <dgm:cxn modelId="{A28C064C-DB4C-43BB-93AE-C79819FC0131}" type="presParOf" srcId="{FA60886C-1583-4FCB-912D-9291D543819B}" destId="{B4DB9511-2C7C-4620-B750-5B9A7D646589}" srcOrd="4" destOrd="0" presId="urn:microsoft.com/office/officeart/2005/8/layout/cycle4"/>
    <dgm:cxn modelId="{8754A096-AA0C-4D08-B395-5EC95D2D7886}" type="presParOf" srcId="{0E932FAA-B9AF-486F-B5E3-1F3B6F2AD56F}" destId="{79EFA8C1-56FF-4796-84D5-7FC6FA9F853C}" srcOrd="1" destOrd="0" presId="urn:microsoft.com/office/officeart/2005/8/layout/cycle4"/>
    <dgm:cxn modelId="{59DB322D-EB44-4F76-A145-9D3AAA1AD4A1}" type="presParOf" srcId="{79EFA8C1-56FF-4796-84D5-7FC6FA9F853C}" destId="{3126F3C1-1343-4D2B-AF84-D796DBCC570D}" srcOrd="0" destOrd="0" presId="urn:microsoft.com/office/officeart/2005/8/layout/cycle4"/>
    <dgm:cxn modelId="{B87E4814-7FB7-4446-B780-5E3CD63F9668}" type="presParOf" srcId="{79EFA8C1-56FF-4796-84D5-7FC6FA9F853C}" destId="{7680EC92-A0D1-48F1-8EDE-1CE8ABA883E2}" srcOrd="1" destOrd="0" presId="urn:microsoft.com/office/officeart/2005/8/layout/cycle4"/>
    <dgm:cxn modelId="{4F2C40FA-4242-4B62-A552-50BC24CA53B7}" type="presParOf" srcId="{79EFA8C1-56FF-4796-84D5-7FC6FA9F853C}" destId="{EC1525B0-6E8C-4D6C-B28B-57232D0419FB}" srcOrd="2" destOrd="0" presId="urn:microsoft.com/office/officeart/2005/8/layout/cycle4"/>
    <dgm:cxn modelId="{EAF9EEF8-07C1-4ADC-B989-C31E10D902F9}" type="presParOf" srcId="{79EFA8C1-56FF-4796-84D5-7FC6FA9F853C}" destId="{2FA28619-BC96-4241-B7B2-1032972B4D54}" srcOrd="3" destOrd="0" presId="urn:microsoft.com/office/officeart/2005/8/layout/cycle4"/>
    <dgm:cxn modelId="{8BE1645B-C0CC-41D1-86A8-5EBBDC6CFAE5}" type="presParOf" srcId="{79EFA8C1-56FF-4796-84D5-7FC6FA9F853C}" destId="{E0C11FCA-FE4A-4A69-9656-CAE846465D39}" srcOrd="4" destOrd="0" presId="urn:microsoft.com/office/officeart/2005/8/layout/cycle4"/>
    <dgm:cxn modelId="{A881EF29-3B52-4BD4-AA23-C8A6A5139707}" type="presParOf" srcId="{0E932FAA-B9AF-486F-B5E3-1F3B6F2AD56F}" destId="{582FF0C0-18DF-404A-A010-6C64DCEEE53F}" srcOrd="2" destOrd="0" presId="urn:microsoft.com/office/officeart/2005/8/layout/cycle4"/>
    <dgm:cxn modelId="{1C774625-1372-4EC2-A6E1-92C71BA3F95D}" type="presParOf" srcId="{0E932FAA-B9AF-486F-B5E3-1F3B6F2AD56F}" destId="{6D3F55F1-F01E-43B5-B27B-19052F2086DB}" srcOrd="3" destOrd="0" presId="urn:microsoft.com/office/officeart/2005/8/layout/cycle4"/>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98F13E-E42D-4C0B-A494-B5646174F353}">
      <dsp:nvSpPr>
        <dsp:cNvPr id="0" name=""/>
        <dsp:cNvSpPr/>
      </dsp:nvSpPr>
      <dsp:spPr>
        <a:xfrm>
          <a:off x="2988856" y="1861057"/>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7030A0"/>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AU" sz="800" kern="1200">
              <a:solidFill>
                <a:srgbClr val="4D4F53">
                  <a:hueOff val="0"/>
                  <a:satOff val="0"/>
                  <a:lumOff val="0"/>
                  <a:alphaOff val="0"/>
                </a:srgbClr>
              </a:solidFill>
              <a:latin typeface="Century Gothic"/>
              <a:ea typeface="+mn-ea"/>
              <a:cs typeface="+mn-cs"/>
            </a:rPr>
            <a:t>Controls - how we manage the risks</a:t>
          </a:r>
        </a:p>
      </dsp:txBody>
      <dsp:txXfrm>
        <a:off x="3413695" y="2099243"/>
        <a:ext cx="907926" cy="618368"/>
      </dsp:txXfrm>
    </dsp:sp>
    <dsp:sp modelId="{3FC61B7E-3774-4024-A7D4-B7995CA48A4F}">
      <dsp:nvSpPr>
        <dsp:cNvPr id="0" name=""/>
        <dsp:cNvSpPr/>
      </dsp:nvSpPr>
      <dsp:spPr>
        <a:xfrm>
          <a:off x="782955" y="1861057"/>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0070C0"/>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AU" sz="800" kern="1200">
              <a:solidFill>
                <a:srgbClr val="4D4F53">
                  <a:hueOff val="0"/>
                  <a:satOff val="0"/>
                  <a:lumOff val="0"/>
                  <a:alphaOff val="0"/>
                </a:srgbClr>
              </a:solidFill>
              <a:latin typeface="Century Gothic"/>
              <a:ea typeface="+mn-ea"/>
              <a:cs typeface="+mn-cs"/>
            </a:rPr>
            <a:t>Assurance - how we know the controls are working</a:t>
          </a:r>
        </a:p>
      </dsp:txBody>
      <dsp:txXfrm>
        <a:off x="802193" y="2099243"/>
        <a:ext cx="907926" cy="618368"/>
      </dsp:txXfrm>
    </dsp:sp>
    <dsp:sp modelId="{98149404-010C-45BF-B8C3-9A9249C5A491}">
      <dsp:nvSpPr>
        <dsp:cNvPr id="0" name=""/>
        <dsp:cNvSpPr/>
      </dsp:nvSpPr>
      <dsp:spPr>
        <a:xfrm>
          <a:off x="2988856" y="0"/>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D688B8"/>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AU" sz="800" kern="1200">
              <a:solidFill>
                <a:srgbClr val="4D4F53">
                  <a:hueOff val="0"/>
                  <a:satOff val="0"/>
                  <a:lumOff val="0"/>
                  <a:alphaOff val="0"/>
                </a:srgbClr>
              </a:solidFill>
              <a:latin typeface="Century Gothic"/>
              <a:ea typeface="+mn-ea"/>
              <a:cs typeface="+mn-cs"/>
            </a:rPr>
            <a:t>Risks - what can stop us achieving our objectives</a:t>
          </a:r>
        </a:p>
      </dsp:txBody>
      <dsp:txXfrm>
        <a:off x="3413695" y="19238"/>
        <a:ext cx="907926" cy="618368"/>
      </dsp:txXfrm>
    </dsp:sp>
    <dsp:sp modelId="{D1747E92-C113-4357-94A1-DDE9089D82F6}">
      <dsp:nvSpPr>
        <dsp:cNvPr id="0" name=""/>
        <dsp:cNvSpPr/>
      </dsp:nvSpPr>
      <dsp:spPr>
        <a:xfrm>
          <a:off x="782955" y="0"/>
          <a:ext cx="1352003" cy="875792"/>
        </a:xfrm>
        <a:prstGeom prst="roundRect">
          <a:avLst>
            <a:gd name="adj" fmla="val 10000"/>
          </a:avLst>
        </a:prstGeom>
        <a:solidFill>
          <a:srgbClr val="FFFFFF">
            <a:alpha val="90000"/>
            <a:hueOff val="0"/>
            <a:satOff val="0"/>
            <a:lumOff val="0"/>
            <a:alphaOff val="0"/>
          </a:srgbClr>
        </a:solidFill>
        <a:ln w="6350" cap="flat" cmpd="sng" algn="ctr">
          <a:solidFill>
            <a:srgbClr val="E9994A"/>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AU" sz="800" kern="1200">
              <a:solidFill>
                <a:srgbClr val="4D4F53">
                  <a:hueOff val="0"/>
                  <a:satOff val="0"/>
                  <a:lumOff val="0"/>
                  <a:alphaOff val="0"/>
                </a:srgbClr>
              </a:solidFill>
              <a:latin typeface="Century Gothic"/>
              <a:ea typeface="+mn-ea"/>
              <a:cs typeface="+mn-cs"/>
            </a:rPr>
            <a:t>Objectives - what we are trying to achieve</a:t>
          </a:r>
        </a:p>
      </dsp:txBody>
      <dsp:txXfrm>
        <a:off x="802193" y="19238"/>
        <a:ext cx="907926" cy="618368"/>
      </dsp:txXfrm>
    </dsp:sp>
    <dsp:sp modelId="{3126F3C1-1343-4D2B-AF84-D796DBCC570D}">
      <dsp:nvSpPr>
        <dsp:cNvPr id="0" name=""/>
        <dsp:cNvSpPr/>
      </dsp:nvSpPr>
      <dsp:spPr>
        <a:xfrm>
          <a:off x="1335534" y="183920"/>
          <a:ext cx="1185056" cy="1185056"/>
        </a:xfrm>
        <a:prstGeom prst="pieWedge">
          <a:avLst/>
        </a:prstGeom>
        <a:solidFill>
          <a:srgbClr val="E9994A"/>
        </a:solidFill>
        <a:ln>
          <a:solidFill>
            <a:srgbClr val="E9994A"/>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AU" sz="1500" b="1" kern="1200">
              <a:solidFill>
                <a:srgbClr val="FFFFFF"/>
              </a:solidFill>
              <a:latin typeface="Century Gothic"/>
              <a:ea typeface="+mn-ea"/>
              <a:cs typeface="+mn-cs"/>
            </a:rPr>
            <a:t>Adjust</a:t>
          </a:r>
        </a:p>
      </dsp:txBody>
      <dsp:txXfrm>
        <a:off x="1682629" y="531015"/>
        <a:ext cx="837961" cy="837961"/>
      </dsp:txXfrm>
    </dsp:sp>
    <dsp:sp modelId="{7680EC92-A0D1-48F1-8EDE-1CE8ABA883E2}">
      <dsp:nvSpPr>
        <dsp:cNvPr id="0" name=""/>
        <dsp:cNvSpPr/>
      </dsp:nvSpPr>
      <dsp:spPr>
        <a:xfrm rot="5400000">
          <a:off x="2589276" y="156000"/>
          <a:ext cx="1185056" cy="1185056"/>
        </a:xfrm>
        <a:prstGeom prst="pieWedge">
          <a:avLst/>
        </a:prstGeom>
        <a:solidFill>
          <a:srgbClr val="D688B8"/>
        </a:solidFill>
        <a:ln>
          <a:solidFill>
            <a:srgbClr val="D688B8"/>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AU" sz="1500" b="1" kern="1200">
              <a:solidFill>
                <a:srgbClr val="FFFFFF"/>
              </a:solidFill>
              <a:latin typeface="Century Gothic"/>
              <a:ea typeface="+mn-ea"/>
              <a:cs typeface="+mn-cs"/>
            </a:rPr>
            <a:t>Plan</a:t>
          </a:r>
        </a:p>
      </dsp:txBody>
      <dsp:txXfrm rot="-5400000">
        <a:off x="2589276" y="503095"/>
        <a:ext cx="837961" cy="837961"/>
      </dsp:txXfrm>
    </dsp:sp>
    <dsp:sp modelId="{EC1525B0-6E8C-4D6C-B28B-57232D0419FB}">
      <dsp:nvSpPr>
        <dsp:cNvPr id="0" name=""/>
        <dsp:cNvSpPr/>
      </dsp:nvSpPr>
      <dsp:spPr>
        <a:xfrm rot="10800000">
          <a:off x="2589276" y="1395793"/>
          <a:ext cx="1185056" cy="1185056"/>
        </a:xfrm>
        <a:prstGeom prst="pieWedge">
          <a:avLst/>
        </a:prstGeom>
        <a:solidFill>
          <a:srgbClr val="7030A0"/>
        </a:solidFill>
        <a:ln>
          <a:solidFill>
            <a:srgbClr val="7030A0"/>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AU" sz="1500" b="1" kern="1200">
              <a:solidFill>
                <a:srgbClr val="FFFFFF"/>
              </a:solidFill>
              <a:latin typeface="Century Gothic"/>
              <a:ea typeface="+mn-ea"/>
              <a:cs typeface="+mn-cs"/>
            </a:rPr>
            <a:t>Do</a:t>
          </a:r>
        </a:p>
      </dsp:txBody>
      <dsp:txXfrm rot="10800000">
        <a:off x="2589276" y="1395793"/>
        <a:ext cx="837961" cy="837961"/>
      </dsp:txXfrm>
    </dsp:sp>
    <dsp:sp modelId="{2FA28619-BC96-4241-B7B2-1032972B4D54}">
      <dsp:nvSpPr>
        <dsp:cNvPr id="0" name=""/>
        <dsp:cNvSpPr/>
      </dsp:nvSpPr>
      <dsp:spPr>
        <a:xfrm rot="16200000">
          <a:off x="1349482" y="1395793"/>
          <a:ext cx="1185056" cy="1185056"/>
        </a:xfrm>
        <a:prstGeom prst="pieWedge">
          <a:avLst/>
        </a:prstGeom>
        <a:solidFill>
          <a:srgbClr val="0070C0"/>
        </a:solidFill>
        <a:ln>
          <a:solidFill>
            <a:srgbClr val="0070C0"/>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AU" sz="1500" b="1" kern="1200">
              <a:solidFill>
                <a:srgbClr val="FFFFFF"/>
              </a:solidFill>
              <a:latin typeface="Century Gothic"/>
              <a:ea typeface="+mn-ea"/>
              <a:cs typeface="+mn-cs"/>
            </a:rPr>
            <a:t>Check</a:t>
          </a:r>
        </a:p>
      </dsp:txBody>
      <dsp:txXfrm rot="5400000">
        <a:off x="1696577" y="1395793"/>
        <a:ext cx="837961" cy="837961"/>
      </dsp:txXfrm>
    </dsp:sp>
    <dsp:sp modelId="{582FF0C0-18DF-404A-A010-6C64DCEEE53F}">
      <dsp:nvSpPr>
        <dsp:cNvPr id="0" name=""/>
        <dsp:cNvSpPr/>
      </dsp:nvSpPr>
      <dsp:spPr>
        <a:xfrm>
          <a:off x="2357327" y="1122108"/>
          <a:ext cx="409159" cy="355790"/>
        </a:xfrm>
        <a:prstGeom prst="circularArrow">
          <a:avLst/>
        </a:prstGeom>
        <a:gradFill rotWithShape="0">
          <a:gsLst>
            <a:gs pos="0">
              <a:srgbClr val="AB8AB8">
                <a:tint val="40000"/>
                <a:hueOff val="0"/>
                <a:satOff val="0"/>
                <a:lumOff val="0"/>
                <a:alphaOff val="0"/>
                <a:satMod val="103000"/>
                <a:lumMod val="102000"/>
                <a:tint val="94000"/>
              </a:srgbClr>
            </a:gs>
            <a:gs pos="50000">
              <a:srgbClr val="AB8AB8">
                <a:tint val="40000"/>
                <a:hueOff val="0"/>
                <a:satOff val="0"/>
                <a:lumOff val="0"/>
                <a:alphaOff val="0"/>
                <a:satMod val="110000"/>
                <a:lumMod val="100000"/>
                <a:shade val="100000"/>
              </a:srgbClr>
            </a:gs>
            <a:gs pos="100000">
              <a:srgbClr val="AB8AB8">
                <a:tint val="4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 modelId="{6D3F55F1-F01E-43B5-B27B-19052F2086DB}">
      <dsp:nvSpPr>
        <dsp:cNvPr id="0" name=""/>
        <dsp:cNvSpPr/>
      </dsp:nvSpPr>
      <dsp:spPr>
        <a:xfrm rot="10800000">
          <a:off x="2357327" y="1258951"/>
          <a:ext cx="409159" cy="355790"/>
        </a:xfrm>
        <a:prstGeom prst="circularArrow">
          <a:avLst/>
        </a:prstGeom>
        <a:gradFill rotWithShape="0">
          <a:gsLst>
            <a:gs pos="0">
              <a:srgbClr val="AB8AB8">
                <a:tint val="40000"/>
                <a:hueOff val="0"/>
                <a:satOff val="0"/>
                <a:lumOff val="0"/>
                <a:alphaOff val="0"/>
                <a:satMod val="103000"/>
                <a:lumMod val="102000"/>
                <a:tint val="94000"/>
              </a:srgbClr>
            </a:gs>
            <a:gs pos="50000">
              <a:srgbClr val="AB8AB8">
                <a:tint val="40000"/>
                <a:hueOff val="0"/>
                <a:satOff val="0"/>
                <a:lumOff val="0"/>
                <a:alphaOff val="0"/>
                <a:satMod val="110000"/>
                <a:lumMod val="100000"/>
                <a:shade val="100000"/>
              </a:srgbClr>
            </a:gs>
            <a:gs pos="100000">
              <a:srgbClr val="AB8AB8">
                <a:tint val="4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85a76a46-fc54-473b-8f60-1b15829d7aa2">BM3</DocType>
    <Document_x0020_Type xmlns="85a76a46-fc54-473b-8f60-1b15829d7aa2">Policy</Document_x0020_Type>
    <External_x0020_facing xmlns="85a76a46-fc54-473b-8f60-1b15829d7aa2">Yes</External_x0020_facing>
    <Latestupdate xmlns="85a76a46-fc54-473b-8f60-1b15829d7aa2">V13.0 Fully reviewed Changes based on feedback from Finance, Audit and Risk Committee, mainly related to clarification of roles and responsibilities.</Latestupdate>
    <Reg168_x0020_Document xmlns="85a76a46-fc54-473b-8f60-1b15829d7aa2">No</Reg168_x0020_Document>
    <EffectiveDate xmlns="85a76a46-fc54-473b-8f60-1b15829d7aa2">2025-10-15T14:00:00+00:00</EffectiveDate>
    <Category xmlns="85a76a46-fc54-473b-8f60-1b15829d7aa2">IT/Business</Category>
    <Review_x0020_date xmlns="85a76a46-fc54-473b-8f60-1b15829d7aa2">2026-11-29T14:00:00+00:00</Review_x0020_date>
    <DocumentNumber xmlns="85a76a46-fc54-473b-8f60-1b15829d7aa2" xsi:nil="true"/>
    <RelatedKeywords xmlns="85a76a46-fc54-473b-8f60-1b15829d7aa2">Risk Assurance POLICY</RelatedKeywords>
    <DocumentOwner xmlns="85a76a46-fc54-473b-8f60-1b15829d7aa2">
      <UserInfo>
        <DisplayName>Nadine Fiers</DisplayName>
        <AccountId>30</AccountId>
        <AccountType/>
      </UserInfo>
    </DocumentOwner>
    <DocumentAuthor xmlns="85a76a46-fc54-473b-8f60-1b15829d7aa2">
      <UserInfo>
        <DisplayName>Jeremy Peck</DisplayName>
        <AccountId>40</AccountId>
        <AccountType/>
      </UserInfo>
    </DocumentAuthor>
    <Related_x0020_Document xmlns="85a76a46-fc54-473b-8f60-1b15829d7a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7c40c900-4dcb-410c-a0c2-a2c795cbd080"/>
    <ds:schemaRef ds:uri="e50c745b-dc02-4f1a-a235-ac4f672f42fb"/>
  </ds:schemaRefs>
</ds:datastoreItem>
</file>

<file path=customXml/itemProps2.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customXml/itemProps3.xml><?xml version="1.0" encoding="utf-8"?>
<ds:datastoreItem xmlns:ds="http://schemas.openxmlformats.org/officeDocument/2006/customXml" ds:itemID="{B2DBB2BD-78D7-43D6-A1FF-FE26865D1682}">
  <ds:schemaRefs>
    <ds:schemaRef ds:uri="http://schemas.microsoft.com/sharepoint/v3/contenttype/forms"/>
  </ds:schemaRefs>
</ds:datastoreItem>
</file>

<file path=customXml/itemProps4.xml><?xml version="1.0" encoding="utf-8"?>
<ds:datastoreItem xmlns:ds="http://schemas.openxmlformats.org/officeDocument/2006/customXml" ds:itemID="{51395F8B-6848-4F79-B4EC-D57DD80927EC}"/>
</file>

<file path=docProps/app.xml><?xml version="1.0" encoding="utf-8"?>
<Properties xmlns="http://schemas.openxmlformats.org/officeDocument/2006/extended-properties" xmlns:vt="http://schemas.openxmlformats.org/officeDocument/2006/docPropsVTypes">
  <Template>Normal</Template>
  <TotalTime>6</TotalTime>
  <Pages>6</Pages>
  <Words>1880</Words>
  <Characters>11512</Characters>
  <Application>Microsoft Office Word</Application>
  <DocSecurity>0</DocSecurity>
  <Lines>311</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BM3 Risk and Assurance POLICY</dc:title>
  <dc:subject/>
  <dc:creator>Jinyi Gin</dc:creator>
  <cp:keywords>Risk Assurance POLICY</cp:keywords>
  <dc:description/>
  <cp:lastModifiedBy>Jodie Holmes</cp:lastModifiedBy>
  <cp:revision>2</cp:revision>
  <dcterms:created xsi:type="dcterms:W3CDTF">2025-10-15T20:07:00Z</dcterms:created>
  <dcterms:modified xsi:type="dcterms:W3CDTF">2025-10-15T20:07:00Z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Order">
    <vt:r8>19200</vt:r8>
  </property>
  <property fmtid="{D5CDD505-2E9C-101B-9397-08002B2CF9AE}" pid="5" name="xd_ProgID">
    <vt:lpwstr/>
  </property>
  <property fmtid="{D5CDD505-2E9C-101B-9397-08002B2CF9AE}" pid="6" name="gs_BusManArea">
    <vt:lpwstr>55;#BM3 - Risk Management|9b83b34c-01a9-4a5c-bcbc-475586d87fcc</vt:lpwstr>
  </property>
  <property fmtid="{D5CDD505-2E9C-101B-9397-08002B2CF9AE}" pid="7" name="TemplateUrl">
    <vt:lpwstr/>
  </property>
  <property fmtid="{D5CDD505-2E9C-101B-9397-08002B2CF9AE}" pid="8" name="WorkflowChangePath">
    <vt:lpwstr>f0ed0a8e-2876-4a3d-b6f2-61225dce09a7,5;f0ed0a8e-2876-4a3d-b6f2-61225dce09a7,7;f0ed0a8e-2876-4a3d-b6f2-61225dce09a7,9;d03df04b-9362-4317-bb7f-3b91a8a16305,17;d03df04b-9362-4317-bb7f-3b91a8a16305,19;d03df04b-9362-4317-bb7f-3b91a8a16305,21;d03df04b-9362-4317</vt:lpwstr>
  </property>
  <property fmtid="{D5CDD505-2E9C-101B-9397-08002B2CF9AE}" pid="9" name="AuthorIds_UIVersion_3074">
    <vt:lpwstr>28</vt:lpwstr>
  </property>
  <property fmtid="{D5CDD505-2E9C-101B-9397-08002B2CF9AE}" pid="10" name="gs_DocClass">
    <vt:lpwstr>20;#Policy|7d44a713-3e36-4027-9ce8-8f968aec4227</vt:lpwstr>
  </property>
  <property fmtid="{D5CDD505-2E9C-101B-9397-08002B2CF9AE}" pid="11" name="GrammarlyDocumentId">
    <vt:lpwstr>178fc4714d3f53676a32e762406f1c46147745893d70d06b2f06e29baccb8287</vt:lpwstr>
  </property>
  <property fmtid="{D5CDD505-2E9C-101B-9397-08002B2CF9AE}" pid="12" name="gs_Description">
    <vt:lpwstr>Policy</vt:lpwstr>
  </property>
  <property fmtid="{D5CDD505-2E9C-101B-9397-08002B2CF9AE}" pid="13" name="gs_ImpactOps">
    <vt:lpwstr>No</vt:lpwstr>
  </property>
  <property fmtid="{D5CDD505-2E9C-101B-9397-08002B2CF9AE}" pid="14" name="Send for approval">
    <vt:bool>false</vt:bool>
  </property>
  <property fmtid="{D5CDD505-2E9C-101B-9397-08002B2CF9AE}" pid="15" name="gs_Reviewers">
    <vt:lpwstr>34479;#i:0#.f|membership|jpeck1@goodstart.org.au</vt:lpwstr>
  </property>
  <property fmtid="{D5CDD505-2E9C-101B-9397-08002B2CF9AE}" pid="16" name="ComplianceAssetId">
    <vt:lpwstr/>
  </property>
  <property fmtid="{D5CDD505-2E9C-101B-9397-08002B2CF9AE}" pid="17" name="gs_ParentsAware">
    <vt:lpwstr>No</vt:lpwstr>
  </property>
  <property fmtid="{D5CDD505-2E9C-101B-9397-08002B2CF9AE}" pid="18" name="gs_Authors">
    <vt:lpwstr>34479;#i:0#.f|membership|jpeck1@goodstart.org.au</vt:lpwstr>
  </property>
  <property fmtid="{D5CDD505-2E9C-101B-9397-08002B2CF9AE}" pid="19" name="gs_ContentOwner">
    <vt:lpwstr>41819;#Nadine Fiers</vt:lpwstr>
  </property>
  <property fmtid="{D5CDD505-2E9C-101B-9397-08002B2CF9AE}" pid="20" name="Document Description">
    <vt:lpwstr>Policy</vt:lpwstr>
  </property>
  <property fmtid="{D5CDD505-2E9C-101B-9397-08002B2CF9AE}" pid="21" name="_ExtendedDescription">
    <vt:lpwstr/>
  </property>
  <property fmtid="{D5CDD505-2E9C-101B-9397-08002B2CF9AE}" pid="22" name="Change Summary">
    <vt:lpwstr>V12.1 New template</vt:lpwstr>
  </property>
  <property fmtid="{D5CDD505-2E9C-101B-9397-08002B2CF9AE}" pid="23" name="TriggerFlowInfo">
    <vt:lpwstr/>
  </property>
  <property fmtid="{D5CDD505-2E9C-101B-9397-08002B2CF9AE}" pid="24" name="gs_DocStatus">
    <vt:lpwstr>Published</vt:lpwstr>
  </property>
  <property fmtid="{D5CDD505-2E9C-101B-9397-08002B2CF9AE}" pid="25" name="xd_Signature">
    <vt:bool>false</vt:bool>
  </property>
  <property fmtid="{D5CDD505-2E9C-101B-9397-08002B2CF9AE}" pid="26" name="gs_RelatedDocs">
    <vt:lpwstr>.</vt:lpwstr>
  </property>
  <property fmtid="{D5CDD505-2E9C-101B-9397-08002B2CF9AE}" pid="27" name="SharedWithUsers">
    <vt:lpwstr>33370;#ThiLeTrinh Nguyen</vt:lpwstr>
  </property>
  <property fmtid="{D5CDD505-2E9C-101B-9397-08002B2CF9AE}" pid="29" name="docLang">
    <vt:lpwstr>en</vt:lpwstr>
  </property>
</Properties>
</file>